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328CA5CC">
      <w:pPr>
        <w:kinsoku/>
        <w:overflowPunct/>
        <w:topLinePunct w:val="0"/>
        <w:bidi w:val="0"/>
        <w:spacing w:line="288" w:lineRule="auto"/>
        <w:jc w:val="center"/>
        <w:rPr>
          <w:rFonts w:hint="eastAsia" w:ascii="仿宋" w:hAnsi="仿宋" w:eastAsia="仿宋" w:cs="仿宋"/>
          <w:b/>
          <w:color w:val="auto"/>
          <w:sz w:val="48"/>
          <w:szCs w:val="48"/>
          <w:lang w:eastAsia="zh-CN"/>
        </w:rPr>
      </w:pPr>
      <w:r>
        <w:rPr>
          <w:rFonts w:hint="eastAsia" w:ascii="仿宋" w:hAnsi="仿宋" w:eastAsia="仿宋" w:cs="仿宋"/>
          <w:b/>
          <w:color w:val="auto"/>
          <w:sz w:val="48"/>
          <w:szCs w:val="48"/>
          <w:lang w:eastAsia="zh-CN"/>
        </w:rPr>
        <w:t>绍兴文理学院附属医院血糖试纸等采购项目（三次）</w:t>
      </w:r>
    </w:p>
    <w:p w14:paraId="2A285713">
      <w:pPr>
        <w:kinsoku/>
        <w:overflowPunct/>
        <w:topLinePunct w:val="0"/>
        <w:bidi w:val="0"/>
        <w:spacing w:line="288" w:lineRule="auto"/>
        <w:jc w:val="center"/>
        <w:rPr>
          <w:rFonts w:hint="eastAsia" w:ascii="仿宋" w:hAnsi="仿宋" w:eastAsia="仿宋" w:cs="仿宋"/>
          <w:b/>
          <w:bCs/>
          <w:color w:val="auto"/>
          <w:sz w:val="72"/>
          <w:szCs w:val="72"/>
        </w:rPr>
      </w:pPr>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16559D2B">
      <w:pPr>
        <w:kinsoku/>
        <w:overflowPunct/>
        <w:topLinePunct w:val="0"/>
        <w:bidi w:val="0"/>
        <w:spacing w:line="288" w:lineRule="auto"/>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YH2026-11027-2</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w:t>
      </w:r>
      <w:r>
        <w:rPr>
          <w:rFonts w:hint="eastAsia" w:ascii="仿宋" w:hAnsi="仿宋" w:eastAsia="仿宋"/>
          <w:color w:val="auto"/>
          <w:sz w:val="28"/>
          <w:szCs w:val="28"/>
        </w:rPr>
        <w:t>绍兴大学附属医院（绍兴文理学院附属医院）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 xml:space="preserve">4 </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13894197"/>
      <w:bookmarkStart w:id="2" w:name="_Hlk132273255"/>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绍兴大学附属医院（绍兴文理学院附属医院）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绍兴文理学院附属医院血糖试纸等采购项目（三次）</w:t>
      </w:r>
    </w:p>
    <w:p w14:paraId="343B1300">
      <w:pPr>
        <w:numPr>
          <w:ilvl w:val="0"/>
          <w:numId w:val="0"/>
        </w:numPr>
        <w:kinsoku/>
        <w:overflowPunct/>
        <w:topLinePunct w:val="0"/>
        <w:bidi w:val="0"/>
        <w:spacing w:line="288" w:lineRule="auto"/>
        <w:ind w:firstLine="482" w:firstLineChars="200"/>
        <w:rPr>
          <w:rFonts w:hint="default" w:ascii="仿宋" w:hAnsi="仿宋" w:eastAsia="仿宋" w:cs="仿宋"/>
          <w:b w:val="0"/>
          <w:bCs w:val="0"/>
          <w:color w:val="auto"/>
          <w:sz w:val="24"/>
          <w:lang w:val="en-US"/>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YH2025-11027-2</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绍兴文理学院附属医院血糖试纸等采购项目（三次）</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596330</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26E998F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1.标段如有多个项目的，均应覆盖所有项目。</w:t>
      </w:r>
    </w:p>
    <w:p w14:paraId="4A93424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27908A00">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ascii="仿宋" w:hAnsi="仿宋" w:eastAsia="仿宋" w:cs="仿宋"/>
          <w:color w:val="auto"/>
          <w:sz w:val="24"/>
          <w:szCs w:val="24"/>
        </w:rPr>
        <w:t>.</w:t>
      </w:r>
      <w:r>
        <w:rPr>
          <w:rFonts w:hint="eastAsia" w:ascii="仿宋" w:hAnsi="仿宋" w:eastAsia="仿宋" w:cs="仿宋"/>
          <w:color w:val="auto"/>
          <w:sz w:val="24"/>
          <w:szCs w:val="24"/>
          <w:lang w:eastAsia="zh-CN"/>
        </w:rPr>
        <w:t>（如有）</w:t>
      </w:r>
      <w:r>
        <w:rPr>
          <w:rFonts w:hint="eastAsia" w:ascii="仿宋" w:hAnsi="仿宋" w:eastAsia="仿宋" w:cs="仿宋"/>
          <w:color w:val="auto"/>
          <w:sz w:val="24"/>
          <w:szCs w:val="24"/>
        </w:rPr>
        <w:t>项目配套服务中涉及提供的设备，供应商须承诺根据临床要求，接入医院LIS/HIS系统，相应费用包含在投标报价中，不单独报价。</w:t>
      </w:r>
    </w:p>
    <w:p w14:paraId="3C5F38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.各标段（有约定的）需包含所有相关配套设备、耗材、质控品、校准品、定标液、样品杯等配套耗材及实际质控校准</w:t>
      </w:r>
      <w:r>
        <w:rPr>
          <w:rFonts w:hint="eastAsia" w:ascii="仿宋" w:hAnsi="仿宋" w:eastAsia="仿宋" w:cs="仿宋"/>
          <w:color w:val="auto"/>
          <w:sz w:val="24"/>
          <w:szCs w:val="24"/>
          <w:lang w:eastAsia="zh-CN"/>
        </w:rPr>
        <w:t>所</w:t>
      </w:r>
      <w:r>
        <w:rPr>
          <w:rFonts w:hint="eastAsia" w:ascii="仿宋" w:hAnsi="仿宋" w:eastAsia="仿宋" w:cs="仿宋"/>
          <w:color w:val="auto"/>
          <w:sz w:val="24"/>
          <w:szCs w:val="24"/>
        </w:rPr>
        <w:t>消耗试剂，以保证临床使用，均包含在投标报价中，不单独报价。</w:t>
      </w:r>
    </w:p>
    <w:p w14:paraId="400C2FE7">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5</w:t>
      </w:r>
      <w:r>
        <w:rPr>
          <w:rFonts w:hint="eastAsia" w:ascii="仿宋" w:hAnsi="仿宋" w:eastAsia="仿宋" w:cs="仿宋"/>
          <w:b/>
          <w:bCs/>
          <w:color w:val="auto"/>
          <w:sz w:val="24"/>
          <w:szCs w:val="24"/>
          <w:lang w:val="en-US" w:eastAsia="zh-CN"/>
        </w:rPr>
        <w:t>.</w:t>
      </w:r>
      <w:r>
        <w:rPr>
          <w:rFonts w:hint="eastAsia" w:ascii="仿宋" w:hAnsi="仿宋" w:eastAsia="仿宋" w:cs="仿宋"/>
          <w:color w:val="auto"/>
          <w:sz w:val="24"/>
          <w:szCs w:val="24"/>
        </w:rPr>
        <w:t>耗材类配送需要通过</w:t>
      </w:r>
      <w:r>
        <w:rPr>
          <w:rFonts w:hint="eastAsia" w:ascii="仿宋" w:hAnsi="仿宋" w:eastAsia="仿宋" w:cs="仿宋"/>
          <w:color w:val="auto"/>
          <w:sz w:val="24"/>
          <w:szCs w:val="24"/>
        </w:rPr>
        <w:t>绍兴大学附属医院（绍兴文理学院附属医院）</w:t>
      </w:r>
      <w:r>
        <w:rPr>
          <w:rFonts w:hint="eastAsia" w:ascii="仿宋" w:hAnsi="仿宋" w:eastAsia="仿宋" w:cs="仿宋"/>
          <w:color w:val="auto"/>
          <w:sz w:val="24"/>
          <w:szCs w:val="24"/>
        </w:rPr>
        <w:t>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21</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4</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28</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7"/>
      <w:bookmarkEnd w:id="5"/>
      <w:bookmarkStart w:id="6" w:name="_Hlt10553106"/>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绍兴大学附属医院（绍兴文理学院附属医院）</w:t>
      </w:r>
      <w:r>
        <w:rPr>
          <w:rFonts w:hint="eastAsia" w:ascii="仿宋" w:hAnsi="仿宋" w:eastAsia="仿宋"/>
          <w:color w:val="auto"/>
          <w:kern w:val="0"/>
          <w:sz w:val="24"/>
        </w:rPr>
        <w:t>：</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bookmarkStart w:id="31" w:name="_GoBack"/>
      <w:bookmarkEnd w:id="31"/>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w:t>
      </w:r>
      <w:r>
        <w:rPr>
          <w:rFonts w:hint="eastAsia" w:ascii="仿宋" w:hAnsi="仿宋" w:eastAsia="仿宋" w:cs="仿宋"/>
          <w:color w:val="auto"/>
          <w:sz w:val="24"/>
          <w:u w:val="single"/>
          <w:lang w:eastAsia="zh-CN"/>
        </w:rPr>
        <w:t>大学</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绍兴大学附属医院（绍兴文理学院附属医院）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罗老师/韩老师，联系电话：0575-88293129/0575-88293030。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u w:val="single"/>
        </w:rPr>
      </w:pPr>
      <w:r>
        <w:rPr>
          <w:rFonts w:hint="eastAsia" w:ascii="仿宋" w:hAnsi="仿宋" w:eastAsia="仿宋" w:cs="仿宋"/>
          <w:color w:val="auto"/>
          <w:kern w:val="0"/>
          <w:sz w:val="24"/>
          <w:u w:val="single"/>
        </w:rPr>
        <w:t>绍兴大学附属医院（绍兴文理学院附属医院）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4月7</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325F257D">
      <w:pPr>
        <w:kinsoku/>
        <w:overflowPunct/>
        <w:topLinePunct w:val="0"/>
        <w:bidi w:val="0"/>
        <w:spacing w:line="288" w:lineRule="auto"/>
        <w:jc w:val="center"/>
        <w:rPr>
          <w:rFonts w:hint="eastAsia" w:ascii="仿宋" w:hAnsi="仿宋" w:eastAsia="仿宋" w:cs="仿宋"/>
          <w:b/>
          <w:bCs/>
          <w:color w:val="auto"/>
          <w:sz w:val="44"/>
          <w:szCs w:val="44"/>
        </w:rPr>
      </w:pPr>
    </w:p>
    <w:p w14:paraId="6F74CB90">
      <w:pPr>
        <w:kinsoku/>
        <w:overflowPunct/>
        <w:topLinePunct w:val="0"/>
        <w:bidi w:val="0"/>
        <w:spacing w:line="288" w:lineRule="auto"/>
        <w:jc w:val="center"/>
        <w:rPr>
          <w:rFonts w:hint="eastAsia" w:ascii="仿宋" w:hAnsi="仿宋" w:eastAsia="仿宋" w:cs="仿宋"/>
          <w:b/>
          <w:bCs/>
          <w:color w:val="auto"/>
          <w:sz w:val="44"/>
          <w:szCs w:val="44"/>
        </w:rPr>
      </w:pPr>
    </w:p>
    <w:p w14:paraId="3C123357">
      <w:pPr>
        <w:kinsoku/>
        <w:overflowPunct/>
        <w:topLinePunct w:val="0"/>
        <w:bidi w:val="0"/>
        <w:spacing w:line="288" w:lineRule="auto"/>
        <w:jc w:val="center"/>
        <w:rPr>
          <w:rFonts w:hint="eastAsia" w:ascii="仿宋" w:hAnsi="仿宋" w:eastAsia="仿宋" w:cs="仿宋"/>
          <w:b/>
          <w:bCs/>
          <w:color w:val="auto"/>
          <w:sz w:val="44"/>
          <w:szCs w:val="44"/>
        </w:rPr>
      </w:pPr>
    </w:p>
    <w:p w14:paraId="22D707A2">
      <w:pPr>
        <w:kinsoku/>
        <w:overflowPunct/>
        <w:topLinePunct w:val="0"/>
        <w:bidi w:val="0"/>
        <w:spacing w:line="288" w:lineRule="auto"/>
        <w:jc w:val="center"/>
        <w:rPr>
          <w:rFonts w:hint="eastAsia" w:ascii="仿宋" w:hAnsi="仿宋" w:eastAsia="仿宋" w:cs="仿宋"/>
          <w:b/>
          <w:bCs/>
          <w:color w:val="auto"/>
          <w:sz w:val="44"/>
          <w:szCs w:val="44"/>
        </w:rPr>
      </w:pPr>
    </w:p>
    <w:p w14:paraId="2DAF79A1">
      <w:pPr>
        <w:kinsoku/>
        <w:overflowPunct/>
        <w:topLinePunct w:val="0"/>
        <w:bidi w:val="0"/>
        <w:spacing w:line="288" w:lineRule="auto"/>
        <w:jc w:val="center"/>
        <w:rPr>
          <w:rFonts w:hint="eastAsia" w:ascii="仿宋" w:hAnsi="仿宋" w:eastAsia="仿宋" w:cs="仿宋"/>
          <w:b/>
          <w:bCs/>
          <w:color w:val="auto"/>
          <w:sz w:val="44"/>
          <w:szCs w:val="44"/>
        </w:rPr>
      </w:pPr>
    </w:p>
    <w:p w14:paraId="0FE6327C">
      <w:pPr>
        <w:kinsoku/>
        <w:overflowPunct/>
        <w:topLinePunct w:val="0"/>
        <w:bidi w:val="0"/>
        <w:spacing w:line="288" w:lineRule="auto"/>
        <w:jc w:val="both"/>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是否进口产品：</w:t>
            </w:r>
            <w:r>
              <w:rPr>
                <w:rFonts w:hint="eastAsia" w:ascii="仿宋" w:hAnsi="仿宋" w:eastAsia="仿宋" w:cs="仿宋"/>
                <w:color w:val="auto"/>
                <w:sz w:val="24"/>
              </w:rPr>
              <w:t>本项目允许采购进口产品，供应商所提供的货物和服务须在我国境内合法生产、销售。</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投标文件份数：正本一份，副本四份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是</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ascii="仿宋" w:hAnsi="仿宋" w:eastAsia="仿宋" w:cs="仿宋"/>
                <w:color w:val="auto"/>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ascii="仿宋" w:hAnsi="仿宋" w:eastAsia="仿宋" w:cs="仿宋"/>
                <w:color w:val="auto"/>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1D6B724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报价</w:t>
      </w:r>
      <w:r>
        <w:rPr>
          <w:rFonts w:hint="eastAsia" w:ascii="仿宋" w:hAnsi="仿宋" w:eastAsia="仿宋" w:cs="仿宋"/>
          <w:color w:val="auto"/>
          <w:sz w:val="24"/>
          <w:highlight w:val="none"/>
        </w:rPr>
        <w:t>评审环节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要求所有有效投标人在规定时间内提交最后报价（</w:t>
      </w:r>
      <w:r>
        <w:rPr>
          <w:rFonts w:hint="eastAsia" w:ascii="仿宋" w:hAnsi="仿宋" w:eastAsia="仿宋" w:cs="仿宋"/>
          <w:color w:val="auto"/>
          <w:sz w:val="24"/>
          <w:highlight w:val="none"/>
          <w:lang w:val="en-US" w:eastAsia="zh-CN"/>
        </w:rPr>
        <w:t>价格评审以</w:t>
      </w:r>
      <w:r>
        <w:rPr>
          <w:rFonts w:hint="eastAsia" w:ascii="仿宋" w:hAnsi="仿宋" w:eastAsia="仿宋" w:cs="仿宋"/>
          <w:color w:val="auto"/>
          <w:sz w:val="24"/>
          <w:highlight w:val="none"/>
        </w:rPr>
        <w:t>最后报价</w:t>
      </w:r>
      <w:r>
        <w:rPr>
          <w:rFonts w:hint="eastAsia" w:ascii="仿宋" w:hAnsi="仿宋" w:eastAsia="仿宋" w:cs="仿宋"/>
          <w:color w:val="auto"/>
          <w:sz w:val="24"/>
          <w:highlight w:val="none"/>
          <w:lang w:val="en-US" w:eastAsia="zh-CN"/>
        </w:rPr>
        <w:t>为准</w:t>
      </w:r>
      <w:r>
        <w:rPr>
          <w:rFonts w:hint="eastAsia" w:ascii="仿宋" w:hAnsi="仿宋" w:eastAsia="仿宋" w:cs="仿宋"/>
          <w:color w:val="auto"/>
          <w:sz w:val="24"/>
          <w:highlight w:val="none"/>
        </w:rPr>
        <w:t>，最后报价不得高于初次报价）</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w:t>
      </w:r>
      <w:r>
        <w:rPr>
          <w:rFonts w:hint="eastAsia" w:ascii="仿宋" w:hAnsi="仿宋" w:eastAsia="仿宋" w:cs="仿宋"/>
          <w:color w:val="auto"/>
          <w:sz w:val="24"/>
          <w:highlight w:val="none"/>
        </w:rPr>
        <w:t>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w:t>
      </w: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rPr>
        <w:t>进行</w:t>
      </w:r>
      <w:r>
        <w:rPr>
          <w:rFonts w:hint="eastAsia" w:ascii="仿宋" w:hAnsi="仿宋" w:eastAsia="仿宋" w:cs="仿宋"/>
          <w:color w:val="auto"/>
          <w:sz w:val="24"/>
          <w:highlight w:val="none"/>
        </w:rPr>
        <w:t>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w:t>
      </w:r>
      <w:r>
        <w:rPr>
          <w:rFonts w:hint="eastAsia" w:ascii="仿宋" w:hAnsi="仿宋" w:eastAsia="仿宋" w:cs="仿宋"/>
          <w:color w:val="auto"/>
          <w:sz w:val="24"/>
        </w:rPr>
        <w:t>绍兴大学附属医院（绍兴文理学院附属医院）</w:t>
      </w:r>
      <w:r>
        <w:rPr>
          <w:rFonts w:hint="eastAsia" w:ascii="仿宋" w:hAnsi="仿宋" w:eastAsia="仿宋" w:cs="仿宋"/>
          <w:color w:val="auto"/>
          <w:sz w:val="24"/>
        </w:rPr>
        <w:t>：</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7401E0D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rPr>
        <w:t>投标产品质量相关</w:t>
      </w:r>
      <w:r>
        <w:rPr>
          <w:rFonts w:hint="eastAsia" w:ascii="仿宋" w:hAnsi="仿宋" w:eastAsia="仿宋" w:cs="仿宋"/>
          <w:color w:val="auto"/>
          <w:highlight w:val="none"/>
          <w:lang w:eastAsia="zh-CN"/>
        </w:rPr>
        <w:t>资料；</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5.4投标文件不予退还。</w:t>
      </w:r>
      <w:bookmarkStart w:id="11" w:name="_Toc104885744"/>
    </w:p>
    <w:p w14:paraId="1B3DFFD6">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color w:val="auto"/>
          <w:sz w:val="40"/>
          <w:szCs w:val="36"/>
        </w:rPr>
      </w:pPr>
    </w:p>
    <w:p w14:paraId="1AF7CA48">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color w:val="auto"/>
          <w:sz w:val="40"/>
          <w:szCs w:val="36"/>
        </w:rPr>
      </w:pPr>
    </w:p>
    <w:p w14:paraId="577D9469">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2BA5E3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019A660">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ECC99E7">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DD05BC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AA1114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50944D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430D7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7B6CC14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3AE1EBCE">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662C659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7D6DFC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CD854C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1DF987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4B9565A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1AEC652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5B5300BC">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9484" w:type="dxa"/>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6"/>
        <w:gridCol w:w="1193"/>
        <w:gridCol w:w="1613"/>
        <w:gridCol w:w="694"/>
        <w:gridCol w:w="919"/>
        <w:gridCol w:w="871"/>
        <w:gridCol w:w="1032"/>
        <w:gridCol w:w="1033"/>
        <w:gridCol w:w="1403"/>
      </w:tblGrid>
      <w:tr w14:paraId="452B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0A54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标段</w:t>
            </w:r>
          </w:p>
        </w:tc>
        <w:tc>
          <w:tcPr>
            <w:tcW w:w="11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EC38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目录名称</w:t>
            </w:r>
          </w:p>
        </w:tc>
        <w:tc>
          <w:tcPr>
            <w:tcW w:w="16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5F49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参考规格、型号</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997D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9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2783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上限价（元）</w:t>
            </w:r>
          </w:p>
        </w:tc>
        <w:tc>
          <w:tcPr>
            <w:tcW w:w="8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D447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年参考使用量</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C2D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年参考总金额（元）</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5C743">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是否需提供样品</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5918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3BCB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29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7D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单髁膝关节系统（包含固定和活动平台）</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70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整套单髁，包括股骨部件、胫骨衬垫、胫骨托，允许按分项报价，整套价格不超过本次单价。</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BB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11A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9360</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D4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2D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93600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81BB">
            <w:pPr>
              <w:jc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9421">
            <w:pPr>
              <w:jc w:val="left"/>
              <w:rPr>
                <w:rFonts w:hint="eastAsia" w:ascii="宋体" w:hAnsi="宋体" w:eastAsia="宋体" w:cs="宋体"/>
                <w:i w:val="0"/>
                <w:iCs w:val="0"/>
                <w:color w:val="auto"/>
                <w:sz w:val="20"/>
                <w:szCs w:val="20"/>
                <w:highlight w:val="none"/>
                <w:u w:val="none"/>
              </w:rPr>
            </w:pPr>
          </w:p>
        </w:tc>
      </w:tr>
      <w:tr w14:paraId="1D86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B0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71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骨科跗骨螺钉</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7F7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跗骨手术螺钉</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4E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70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F4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16380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70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81900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2877">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77A1">
            <w:pPr>
              <w:jc w:val="left"/>
              <w:rPr>
                <w:rFonts w:hint="eastAsia" w:ascii="宋体" w:hAnsi="宋体" w:eastAsia="宋体" w:cs="宋体"/>
                <w:i w:val="0"/>
                <w:iCs w:val="0"/>
                <w:color w:val="auto"/>
                <w:sz w:val="20"/>
                <w:szCs w:val="20"/>
                <w:u w:val="none"/>
              </w:rPr>
            </w:pPr>
          </w:p>
        </w:tc>
      </w:tr>
      <w:tr w14:paraId="3FFA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8FF5">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10</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1E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按键回弹式采血器</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C77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防针刺伤型</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5B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枚</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25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08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59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4400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598C">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3487">
            <w:pPr>
              <w:jc w:val="left"/>
              <w:rPr>
                <w:rFonts w:hint="eastAsia" w:ascii="宋体" w:hAnsi="宋体" w:eastAsia="宋体" w:cs="宋体"/>
                <w:i w:val="0"/>
                <w:iCs w:val="0"/>
                <w:color w:val="auto"/>
                <w:sz w:val="20"/>
                <w:szCs w:val="20"/>
                <w:u w:val="none"/>
              </w:rPr>
            </w:pPr>
          </w:p>
        </w:tc>
      </w:tr>
      <w:tr w14:paraId="777D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4B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09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随身灸</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17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要求无烟，易取放</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22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93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80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7F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3D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CFD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★一套产品包含灸具、艾柱，要求必须为每根艾柱配套一个灸具，不得重复使用，且灸材需为常规艾绒。</w:t>
            </w:r>
          </w:p>
        </w:tc>
      </w:tr>
      <w:tr w14:paraId="42087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4494">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15</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80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超声探头隔离套</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0F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宽度52±2mm</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2E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AF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0.25</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B1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35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7268">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4B0A">
            <w:pPr>
              <w:jc w:val="left"/>
              <w:rPr>
                <w:rFonts w:hint="eastAsia" w:ascii="宋体" w:hAnsi="宋体" w:eastAsia="宋体" w:cs="宋体"/>
                <w:i w:val="0"/>
                <w:iCs w:val="0"/>
                <w:color w:val="auto"/>
                <w:sz w:val="20"/>
                <w:szCs w:val="20"/>
                <w:u w:val="none"/>
              </w:rPr>
            </w:pPr>
          </w:p>
        </w:tc>
      </w:tr>
      <w:tr w14:paraId="07AC6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9A7F">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16</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FA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超声骨科动力系统（刀头）</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576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适配超声骨刀</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A08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F0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11000</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73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B0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2C5B">
            <w:pPr>
              <w:jc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08E4">
            <w:pPr>
              <w:jc w:val="left"/>
              <w:rPr>
                <w:rFonts w:hint="eastAsia" w:ascii="宋体" w:hAnsi="宋体" w:eastAsia="宋体" w:cs="宋体"/>
                <w:i w:val="0"/>
                <w:iCs w:val="0"/>
                <w:color w:val="auto"/>
                <w:sz w:val="20"/>
                <w:szCs w:val="20"/>
                <w:u w:val="none"/>
              </w:rPr>
            </w:pPr>
          </w:p>
        </w:tc>
      </w:tr>
      <w:tr w14:paraId="39805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621D">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20</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19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医用棉签（五官）</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67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50支/包 15CM，五官专用</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C2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包</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76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966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5E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CC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9E2D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数量不一致请按最小单位金额报价</w:t>
            </w:r>
          </w:p>
        </w:tc>
      </w:tr>
      <w:tr w14:paraId="65CD7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E241">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22</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D5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一次性使用防逆流引流袋</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0A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1000ML</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7D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E0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1.15</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E0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D8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14950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E7F7">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4CAF">
            <w:pPr>
              <w:jc w:val="left"/>
              <w:rPr>
                <w:rFonts w:hint="eastAsia" w:ascii="宋体" w:hAnsi="宋体" w:eastAsia="宋体" w:cs="宋体"/>
                <w:i w:val="0"/>
                <w:iCs w:val="0"/>
                <w:color w:val="auto"/>
                <w:sz w:val="20"/>
                <w:szCs w:val="20"/>
                <w:u w:val="none"/>
              </w:rPr>
            </w:pPr>
          </w:p>
        </w:tc>
      </w:tr>
      <w:tr w14:paraId="0AC0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E0B71">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23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CD7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医用高分子夹板</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418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10cmx40cm</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404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8E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45</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C9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FC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13500</w:t>
            </w:r>
          </w:p>
        </w:tc>
        <w:tc>
          <w:tcPr>
            <w:tcW w:w="1033" w:type="dxa"/>
            <w:vMerge w:val="restart"/>
            <w:tcBorders>
              <w:top w:val="single" w:color="000000" w:sz="4" w:space="0"/>
              <w:left w:val="single" w:color="000000" w:sz="4" w:space="0"/>
              <w:right w:val="single" w:color="000000" w:sz="4" w:space="0"/>
            </w:tcBorders>
            <w:shd w:val="clear" w:color="auto" w:fill="auto"/>
            <w:vAlign w:val="center"/>
          </w:tcPr>
          <w:p w14:paraId="326A6201">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184E">
            <w:pPr>
              <w:jc w:val="left"/>
              <w:rPr>
                <w:rFonts w:hint="eastAsia" w:ascii="宋体" w:hAnsi="宋体" w:eastAsia="宋体" w:cs="宋体"/>
                <w:i w:val="0"/>
                <w:iCs w:val="0"/>
                <w:color w:val="auto"/>
                <w:sz w:val="20"/>
                <w:szCs w:val="20"/>
                <w:u w:val="none"/>
              </w:rPr>
            </w:pPr>
          </w:p>
        </w:tc>
      </w:tr>
      <w:tr w14:paraId="710F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1EF0E">
            <w:pPr>
              <w:jc w:val="center"/>
              <w:rPr>
                <w:rFonts w:hint="eastAsia" w:ascii="宋体" w:hAnsi="宋体" w:eastAsia="宋体" w:cs="宋体"/>
                <w:i w:val="0"/>
                <w:iCs w:val="0"/>
                <w:color w:val="auto"/>
                <w:sz w:val="20"/>
                <w:szCs w:val="20"/>
                <w:highlight w:val="none"/>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9E5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医用高分子夹板</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39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12.5cmx75cm</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FD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AF4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75</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99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B12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1033" w:type="dxa"/>
            <w:vMerge w:val="continue"/>
            <w:tcBorders>
              <w:left w:val="single" w:color="000000" w:sz="4" w:space="0"/>
              <w:bottom w:val="single" w:color="000000" w:sz="4" w:space="0"/>
              <w:right w:val="single" w:color="000000" w:sz="4" w:space="0"/>
            </w:tcBorders>
            <w:shd w:val="clear" w:color="auto" w:fill="auto"/>
            <w:vAlign w:val="center"/>
          </w:tcPr>
          <w:p w14:paraId="39B57CE1">
            <w:pPr>
              <w:jc w:val="center"/>
              <w:rPr>
                <w:rFonts w:hint="eastAsia" w:ascii="宋体" w:hAnsi="宋体" w:eastAsia="宋体" w:cs="宋体"/>
                <w:i w:val="0"/>
                <w:iCs w:val="0"/>
                <w:color w:val="auto"/>
                <w:sz w:val="20"/>
                <w:szCs w:val="20"/>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C486">
            <w:pPr>
              <w:jc w:val="left"/>
              <w:rPr>
                <w:rFonts w:hint="eastAsia" w:ascii="宋体" w:hAnsi="宋体" w:eastAsia="宋体" w:cs="宋体"/>
                <w:i w:val="0"/>
                <w:iCs w:val="0"/>
                <w:color w:val="auto"/>
                <w:sz w:val="20"/>
                <w:szCs w:val="20"/>
                <w:u w:val="none"/>
              </w:rPr>
            </w:pPr>
          </w:p>
        </w:tc>
      </w:tr>
      <w:tr w14:paraId="3230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0538">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31</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E4E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骨蜡</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AA1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2.5g，手术使用，参考强生W810T</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77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EB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20.5</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9D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7A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4305</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68B1">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9040">
            <w:pPr>
              <w:jc w:val="left"/>
              <w:rPr>
                <w:rFonts w:hint="eastAsia" w:ascii="宋体" w:hAnsi="宋体" w:eastAsia="宋体" w:cs="宋体"/>
                <w:i w:val="0"/>
                <w:iCs w:val="0"/>
                <w:color w:val="auto"/>
                <w:sz w:val="20"/>
                <w:szCs w:val="20"/>
                <w:u w:val="none"/>
              </w:rPr>
            </w:pPr>
          </w:p>
        </w:tc>
      </w:tr>
      <w:tr w14:paraId="6A0D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EEF1A">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33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DB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一次性理疗电极（月牙钮扣形）</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1F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35mm或更多规格</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2C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66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0.4</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9C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E8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w:t>
            </w:r>
          </w:p>
        </w:tc>
        <w:tc>
          <w:tcPr>
            <w:tcW w:w="1033" w:type="dxa"/>
            <w:vMerge w:val="restart"/>
            <w:tcBorders>
              <w:top w:val="single" w:color="000000" w:sz="4" w:space="0"/>
              <w:left w:val="single" w:color="000000" w:sz="4" w:space="0"/>
              <w:right w:val="single" w:color="000000" w:sz="4" w:space="0"/>
            </w:tcBorders>
            <w:shd w:val="clear" w:color="auto" w:fill="auto"/>
            <w:vAlign w:val="center"/>
          </w:tcPr>
          <w:p w14:paraId="1A58A90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F81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用于儿童耳后理疗，通用纽扣</w:t>
            </w:r>
            <w:r>
              <w:rPr>
                <w:rFonts w:hint="eastAsia" w:ascii="宋体" w:hAnsi="宋体" w:cs="宋体"/>
                <w:i w:val="0"/>
                <w:iCs w:val="0"/>
                <w:color w:val="auto"/>
                <w:kern w:val="0"/>
                <w:sz w:val="20"/>
                <w:szCs w:val="20"/>
                <w:u w:val="none"/>
                <w:lang w:val="en-US" w:eastAsia="zh-CN" w:bidi="ar"/>
              </w:rPr>
              <w:t xml:space="preserve"> </w:t>
            </w:r>
          </w:p>
        </w:tc>
      </w:tr>
      <w:tr w14:paraId="78E4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FBF06">
            <w:pPr>
              <w:jc w:val="center"/>
              <w:rPr>
                <w:rFonts w:hint="eastAsia" w:ascii="宋体" w:hAnsi="宋体" w:eastAsia="宋体" w:cs="宋体"/>
                <w:i w:val="0"/>
                <w:iCs w:val="0"/>
                <w:color w:val="auto"/>
                <w:sz w:val="20"/>
                <w:szCs w:val="20"/>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BAC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一次性理疗电极（插口型）</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0A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60*90mm、50*50或更多规格</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010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66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E4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18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9000</w:t>
            </w:r>
          </w:p>
        </w:tc>
        <w:tc>
          <w:tcPr>
            <w:tcW w:w="1033" w:type="dxa"/>
            <w:vMerge w:val="continue"/>
            <w:tcBorders>
              <w:left w:val="single" w:color="000000" w:sz="4" w:space="0"/>
              <w:bottom w:val="single" w:color="000000" w:sz="4" w:space="0"/>
              <w:right w:val="single" w:color="000000" w:sz="4" w:space="0"/>
            </w:tcBorders>
            <w:shd w:val="clear" w:color="auto" w:fill="auto"/>
            <w:vAlign w:val="center"/>
          </w:tcPr>
          <w:p w14:paraId="6FE07D4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399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通用理疗2.0mm及2.5mm插口</w:t>
            </w:r>
            <w:r>
              <w:rPr>
                <w:rFonts w:hint="eastAsia" w:ascii="宋体" w:hAnsi="宋体" w:cs="宋体"/>
                <w:i w:val="0"/>
                <w:iCs w:val="0"/>
                <w:color w:val="auto"/>
                <w:kern w:val="0"/>
                <w:sz w:val="20"/>
                <w:szCs w:val="20"/>
                <w:u w:val="none"/>
                <w:lang w:val="en-US" w:eastAsia="zh-CN" w:bidi="ar"/>
              </w:rPr>
              <w:t xml:space="preserve"> </w:t>
            </w:r>
          </w:p>
        </w:tc>
      </w:tr>
      <w:tr w14:paraId="01090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731E">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34</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EC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口腔器械盒</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74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内容包含但不限于口镜、牙探针、牙用镊、脱脂棉球、检查垫、检查碗、乳胶手套、清洁用纸等</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8A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只</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AB0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87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87E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33EC">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是</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E33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按需提供相应比例漱口杯，要求有二类器械注册证</w:t>
            </w:r>
          </w:p>
        </w:tc>
      </w:tr>
    </w:tbl>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rPr>
        <w:t>二、其他要求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4674398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w:t>
      </w:r>
      <w:r>
        <w:rPr>
          <w:rFonts w:hint="eastAsia" w:ascii="仿宋" w:hAnsi="仿宋" w:eastAsia="仿宋"/>
          <w:bCs/>
          <w:color w:val="auto"/>
          <w:sz w:val="24"/>
        </w:rPr>
        <w:t>绍兴大学附属医院（绍兴文理学院附属医院）</w:t>
      </w:r>
      <w:r>
        <w:rPr>
          <w:rFonts w:hint="eastAsia" w:ascii="仿宋" w:hAnsi="仿宋" w:eastAsia="仿宋"/>
          <w:bCs/>
          <w:color w:val="auto"/>
          <w:sz w:val="24"/>
        </w:rPr>
        <w:t>负责解释。</w:t>
      </w:r>
      <w:bookmarkStart w:id="15" w:name="_Toc104885747"/>
    </w:p>
    <w:p w14:paraId="340042AF">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1.3合同暂定二年，签约地点：</w:t>
      </w:r>
      <w:r>
        <w:rPr>
          <w:rFonts w:hint="eastAsia" w:ascii="仿宋" w:hAnsi="仿宋" w:eastAsia="仿宋" w:cs="仿宋"/>
          <w:color w:val="auto"/>
          <w:sz w:val="24"/>
        </w:rPr>
        <w:t>绍兴大学附属医院（绍兴文理学院附属医院）</w:t>
      </w:r>
      <w:r>
        <w:rPr>
          <w:rFonts w:hint="eastAsia" w:ascii="仿宋" w:hAnsi="仿宋" w:eastAsia="仿宋" w:cs="仿宋"/>
          <w:color w:val="auto"/>
          <w:sz w:val="24"/>
        </w:rPr>
        <w:t>。</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2245BD67">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绍兴文理学院附属医院血糖试纸等采购项目（三次）</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861EE3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674408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35515B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560E5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E6D795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B944B5F">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53A9D6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AB8C09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绍兴文理学院附属医院血糖试纸等采购项目（三次）</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r>
        <w:rPr>
          <w:rFonts w:hint="eastAsia" w:ascii="仿宋" w:hAnsi="仿宋" w:eastAsia="仿宋" w:cs="仿宋"/>
          <w:b/>
          <w:color w:val="auto"/>
          <w:sz w:val="24"/>
        </w:rPr>
        <w:t>甲  方：</w:t>
      </w:r>
      <w:r>
        <w:rPr>
          <w:rFonts w:hint="eastAsia" w:ascii="仿宋" w:hAnsi="仿宋" w:eastAsia="仿宋" w:cs="仿宋"/>
          <w:b/>
          <w:color w:val="auto"/>
          <w:sz w:val="24"/>
        </w:rPr>
        <w:t>绍兴大学附属医院（绍兴文理学院附属医院）</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rPr>
      </w:pPr>
      <w:r>
        <w:rPr>
          <w:rFonts w:hint="eastAsia" w:ascii="仿宋" w:hAnsi="仿宋" w:eastAsia="仿宋" w:cs="仿宋"/>
          <w:color w:val="auto"/>
          <w:sz w:val="24"/>
        </w:rPr>
        <w:t>甲方：</w:t>
      </w:r>
      <w:r>
        <w:rPr>
          <w:rFonts w:hint="eastAsia" w:ascii="仿宋" w:hAnsi="仿宋" w:eastAsia="仿宋" w:cs="仿宋"/>
          <w:color w:val="auto"/>
          <w:sz w:val="24"/>
        </w:rPr>
        <w:t>绍兴大学附属医院（绍兴文理学院附属医院）</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绍兴文理学院附属医院血糖试纸等采购项目（三次）</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绍兴文理学院附属医院血糖试纸等采购项目（三次）</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采购周期：本协议原则上生效之日起二年，采购周期结束前一个月甲方有权决定采购周期是否延长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绍兴文理学院附属医院血糖试纸等采购项目（三次）</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绍兴大学附属医院（绍兴文理学院附属医院）</w:t>
      </w:r>
      <w:r>
        <w:rPr>
          <w:rFonts w:hint="eastAsia" w:ascii="仿宋" w:hAnsi="仿宋" w:eastAsia="仿宋" w:cs="仿宋"/>
          <w:b/>
          <w:color w:val="auto"/>
          <w:sz w:val="24"/>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08AC653F">
      <w:pPr>
        <w:kinsoku/>
        <w:overflowPunct/>
        <w:topLinePunct w:val="0"/>
        <w:bidi w:val="0"/>
        <w:spacing w:line="288" w:lineRule="auto"/>
        <w:ind w:firstLine="883"/>
        <w:jc w:val="center"/>
        <w:rPr>
          <w:rFonts w:ascii="仿宋" w:hAnsi="仿宋" w:eastAsia="仿宋" w:cs="仿宋"/>
          <w:b/>
          <w:bCs/>
          <w:color w:val="auto"/>
          <w:sz w:val="44"/>
          <w:szCs w:val="40"/>
        </w:rPr>
      </w:pPr>
    </w:p>
    <w:p w14:paraId="4F3A9DF4">
      <w:pPr>
        <w:kinsoku/>
        <w:overflowPunct/>
        <w:topLinePunct w:val="0"/>
        <w:bidi w:val="0"/>
        <w:spacing w:line="288" w:lineRule="auto"/>
        <w:ind w:firstLine="883"/>
        <w:jc w:val="center"/>
        <w:rPr>
          <w:rFonts w:ascii="仿宋" w:hAnsi="仿宋" w:eastAsia="仿宋" w:cs="仿宋"/>
          <w:b/>
          <w:bCs/>
          <w:color w:val="auto"/>
          <w:sz w:val="44"/>
          <w:szCs w:val="40"/>
        </w:rPr>
      </w:pPr>
    </w:p>
    <w:p w14:paraId="0344396D">
      <w:pPr>
        <w:kinsoku/>
        <w:overflowPunct/>
        <w:topLinePunct w:val="0"/>
        <w:bidi w:val="0"/>
        <w:spacing w:line="288" w:lineRule="auto"/>
        <w:ind w:firstLine="883"/>
        <w:jc w:val="center"/>
        <w:rPr>
          <w:rFonts w:ascii="仿宋" w:hAnsi="仿宋" w:eastAsia="仿宋" w:cs="仿宋"/>
          <w:b/>
          <w:bCs/>
          <w:color w:val="auto"/>
          <w:sz w:val="44"/>
          <w:szCs w:val="40"/>
        </w:rPr>
      </w:pPr>
    </w:p>
    <w:p w14:paraId="13AC3790">
      <w:pPr>
        <w:kinsoku/>
        <w:overflowPunct/>
        <w:topLinePunct w:val="0"/>
        <w:bidi w:val="0"/>
        <w:spacing w:line="288" w:lineRule="auto"/>
        <w:ind w:firstLine="883"/>
        <w:jc w:val="center"/>
        <w:rPr>
          <w:rFonts w:ascii="仿宋" w:hAnsi="仿宋" w:eastAsia="仿宋" w:cs="仿宋"/>
          <w:b/>
          <w:bCs/>
          <w:color w:val="auto"/>
          <w:sz w:val="44"/>
          <w:szCs w:val="40"/>
        </w:rPr>
      </w:pPr>
    </w:p>
    <w:p w14:paraId="7D9DBC40">
      <w:pPr>
        <w:kinsoku/>
        <w:overflowPunct/>
        <w:topLinePunct w:val="0"/>
        <w:bidi w:val="0"/>
        <w:spacing w:line="288" w:lineRule="auto"/>
        <w:jc w:val="center"/>
        <w:rPr>
          <w:rFonts w:hint="eastAsia" w:ascii="仿宋" w:hAnsi="仿宋" w:eastAsia="仿宋" w:cs="仿宋"/>
          <w:b/>
          <w:bCs/>
          <w:color w:val="auto"/>
          <w:sz w:val="44"/>
          <w:szCs w:val="40"/>
        </w:rPr>
      </w:pPr>
    </w:p>
    <w:p w14:paraId="61CC7F22">
      <w:pPr>
        <w:kinsoku/>
        <w:overflowPunct/>
        <w:topLinePunct w:val="0"/>
        <w:bidi w:val="0"/>
        <w:spacing w:line="288" w:lineRule="auto"/>
        <w:jc w:val="center"/>
        <w:rPr>
          <w:rFonts w:hint="eastAsia" w:ascii="仿宋" w:hAnsi="仿宋" w:eastAsia="仿宋" w:cs="仿宋"/>
          <w:b/>
          <w:bCs/>
          <w:color w:val="auto"/>
          <w:sz w:val="44"/>
          <w:szCs w:val="40"/>
        </w:rPr>
      </w:pPr>
    </w:p>
    <w:p w14:paraId="6B5D8CC7">
      <w:pPr>
        <w:kinsoku/>
        <w:overflowPunct/>
        <w:topLinePunct w:val="0"/>
        <w:bidi w:val="0"/>
        <w:spacing w:line="288" w:lineRule="auto"/>
        <w:jc w:val="center"/>
        <w:rPr>
          <w:rFonts w:hint="eastAsia" w:ascii="仿宋" w:hAnsi="仿宋" w:eastAsia="仿宋" w:cs="仿宋"/>
          <w:b/>
          <w:bCs/>
          <w:color w:val="auto"/>
          <w:sz w:val="44"/>
          <w:szCs w:val="40"/>
        </w:rPr>
      </w:pPr>
    </w:p>
    <w:p w14:paraId="1A2F02B2">
      <w:pPr>
        <w:kinsoku/>
        <w:overflowPunct/>
        <w:topLinePunct w:val="0"/>
        <w:bidi w:val="0"/>
        <w:spacing w:line="288" w:lineRule="auto"/>
        <w:jc w:val="center"/>
        <w:rPr>
          <w:rFonts w:hint="eastAsia" w:ascii="仿宋" w:hAnsi="仿宋" w:eastAsia="仿宋" w:cs="仿宋"/>
          <w:b/>
          <w:bCs/>
          <w:color w:val="auto"/>
          <w:sz w:val="44"/>
          <w:szCs w:val="40"/>
        </w:rPr>
      </w:pPr>
    </w:p>
    <w:p w14:paraId="0A462B6D">
      <w:pPr>
        <w:kinsoku/>
        <w:overflowPunct/>
        <w:topLinePunct w:val="0"/>
        <w:bidi w:val="0"/>
        <w:spacing w:line="288" w:lineRule="auto"/>
        <w:jc w:val="both"/>
        <w:rPr>
          <w:rFonts w:hint="eastAsia" w:ascii="仿宋" w:hAnsi="仿宋" w:eastAsia="仿宋" w:cs="仿宋"/>
          <w:b/>
          <w:bCs/>
          <w:color w:val="auto"/>
          <w:sz w:val="44"/>
          <w:szCs w:val="40"/>
        </w:rPr>
      </w:pPr>
    </w:p>
    <w:p w14:paraId="645C5AA7">
      <w:pPr>
        <w:kinsoku/>
        <w:overflowPunct/>
        <w:topLinePunct w:val="0"/>
        <w:bidi w:val="0"/>
        <w:spacing w:line="288" w:lineRule="auto"/>
        <w:jc w:val="center"/>
        <w:rPr>
          <w:rFonts w:hint="eastAsia" w:ascii="仿宋" w:hAnsi="仿宋" w:eastAsia="仿宋" w:cs="仿宋"/>
          <w:b/>
          <w:bCs/>
          <w:color w:val="auto"/>
          <w:sz w:val="44"/>
          <w:szCs w:val="40"/>
        </w:rPr>
      </w:pPr>
    </w:p>
    <w:p w14:paraId="0CDC4B8A">
      <w:pPr>
        <w:kinsoku/>
        <w:overflowPunct/>
        <w:topLinePunct w:val="0"/>
        <w:bidi w:val="0"/>
        <w:spacing w:line="288" w:lineRule="auto"/>
        <w:jc w:val="center"/>
        <w:rPr>
          <w:rFonts w:hint="eastAsia" w:ascii="仿宋" w:hAnsi="仿宋" w:eastAsia="仿宋" w:cs="仿宋"/>
          <w:b/>
          <w:bCs/>
          <w:color w:val="auto"/>
          <w:sz w:val="44"/>
          <w:szCs w:val="40"/>
        </w:rPr>
      </w:pPr>
    </w:p>
    <w:p w14:paraId="3CC7E1A1">
      <w:pPr>
        <w:kinsoku/>
        <w:overflowPunct/>
        <w:topLinePunct w:val="0"/>
        <w:bidi w:val="0"/>
        <w:spacing w:line="288" w:lineRule="auto"/>
        <w:jc w:val="center"/>
        <w:rPr>
          <w:rFonts w:hint="eastAsia" w:ascii="仿宋" w:hAnsi="仿宋" w:eastAsia="仿宋" w:cs="仿宋"/>
          <w:b/>
          <w:bCs/>
          <w:color w:val="auto"/>
          <w:sz w:val="44"/>
          <w:szCs w:val="40"/>
        </w:rPr>
      </w:pPr>
    </w:p>
    <w:p w14:paraId="556FFF69">
      <w:pPr>
        <w:kinsoku/>
        <w:overflowPunct/>
        <w:topLinePunct w:val="0"/>
        <w:bidi w:val="0"/>
        <w:spacing w:line="288" w:lineRule="auto"/>
        <w:jc w:val="center"/>
        <w:rPr>
          <w:rFonts w:hint="eastAsia" w:ascii="仿宋" w:hAnsi="仿宋" w:eastAsia="仿宋" w:cs="仿宋"/>
          <w:b/>
          <w:bCs/>
          <w:color w:val="auto"/>
          <w:sz w:val="44"/>
          <w:szCs w:val="40"/>
        </w:rPr>
      </w:pPr>
    </w:p>
    <w:p w14:paraId="484E7A3C">
      <w:pPr>
        <w:kinsoku/>
        <w:overflowPunct/>
        <w:topLinePunct w:val="0"/>
        <w:bidi w:val="0"/>
        <w:spacing w:line="288" w:lineRule="auto"/>
        <w:jc w:val="center"/>
        <w:rPr>
          <w:rFonts w:hint="eastAsia" w:ascii="仿宋" w:hAnsi="仿宋" w:eastAsia="仿宋" w:cs="仿宋"/>
          <w:b/>
          <w:bCs/>
          <w:color w:val="auto"/>
          <w:sz w:val="44"/>
          <w:szCs w:val="40"/>
        </w:rPr>
      </w:pPr>
    </w:p>
    <w:p w14:paraId="72A45466">
      <w:pPr>
        <w:kinsoku/>
        <w:overflowPunct/>
        <w:topLinePunct w:val="0"/>
        <w:bidi w:val="0"/>
        <w:spacing w:line="288" w:lineRule="auto"/>
        <w:jc w:val="center"/>
        <w:rPr>
          <w:rFonts w:hint="eastAsia"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共100分，其中技术分60分，商务分40分。评分依下述所列为评标打分依据，分值如下（计算分值时，按其算术平均值保留小数2位）</w:t>
      </w:r>
      <w:r>
        <w:rPr>
          <w:rFonts w:hint="eastAsia" w:ascii="仿宋" w:hAnsi="仿宋" w:eastAsia="仿宋"/>
          <w:color w:val="auto"/>
          <w:sz w:val="24"/>
          <w:lang w:eastAsia="zh-CN"/>
        </w:rPr>
        <w:t>。</w:t>
      </w:r>
    </w:p>
    <w:p w14:paraId="254E6D9B">
      <w:pPr>
        <w:kinsoku/>
        <w:overflowPunct/>
        <w:topLinePunct w:val="0"/>
        <w:bidi w:val="0"/>
        <w:spacing w:line="288" w:lineRule="auto"/>
        <w:ind w:firstLine="482"/>
        <w:rPr>
          <w:rFonts w:ascii="仿宋" w:hAnsi="仿宋" w:eastAsia="仿宋"/>
          <w:b/>
          <w:bCs/>
          <w:iCs/>
          <w:color w:val="auto"/>
          <w:sz w:val="24"/>
        </w:rPr>
      </w:pPr>
      <w:r>
        <w:rPr>
          <w:rFonts w:hint="eastAsia" w:ascii="仿宋" w:hAnsi="仿宋" w:eastAsia="仿宋"/>
          <w:b/>
          <w:bCs/>
          <w:iCs/>
          <w:color w:val="auto"/>
          <w:sz w:val="24"/>
        </w:rPr>
        <w:t>2.1（技术分60分）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auto"/>
                <w:sz w:val="24"/>
              </w:rPr>
            </w:pPr>
            <w:r>
              <w:rPr>
                <w:rFonts w:hint="eastAsia" w:ascii="仿宋" w:hAnsi="仿宋" w:eastAsia="仿宋" w:cs="仿宋"/>
                <w:b/>
                <w:bCs/>
                <w:color w:val="auto"/>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投标人综合实力</w:t>
            </w:r>
          </w:p>
        </w:tc>
        <w:tc>
          <w:tcPr>
            <w:tcW w:w="7515" w:type="dxa"/>
            <w:vAlign w:val="center"/>
          </w:tcPr>
          <w:p w14:paraId="450E78B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1.对投标人建立的企业管理制度，包括企业文化、企业组织结构、企业各项规章制度、企业管理流程等进行评价打分。(本项分值设置为4,3,2,1,0.5,0分)</w:t>
            </w:r>
          </w:p>
          <w:p w14:paraId="1C6B8BD2">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投标人对照要求自行组织材料，无材料的，不得分。</w:t>
            </w:r>
          </w:p>
        </w:tc>
        <w:tc>
          <w:tcPr>
            <w:tcW w:w="710" w:type="dxa"/>
            <w:vAlign w:val="center"/>
          </w:tcPr>
          <w:p w14:paraId="20956495">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6376F4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2.对投标人质量保证体系的规范性、全面性、有效性、可行性进行评价打分。(本项分值设置为4,3,2,1,0.5,0分)</w:t>
            </w:r>
          </w:p>
          <w:p w14:paraId="7719C9F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根据投标人提供的制度、人员、设备设施、场所、认证情况、质控检查等材料进行认定，无材料的，不得分。</w:t>
            </w:r>
          </w:p>
        </w:tc>
        <w:tc>
          <w:tcPr>
            <w:tcW w:w="710" w:type="dxa"/>
            <w:vAlign w:val="center"/>
          </w:tcPr>
          <w:p w14:paraId="00B0030F">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4F22788C">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对投标人运营情况及效率，如经营能力和水平、经营产品的优异性等进行评价打分。(本项分值设置为4,3,2,1,0.5,0分)</w:t>
            </w:r>
          </w:p>
          <w:p w14:paraId="2A62539C">
            <w:pPr>
              <w:kinsoku/>
              <w:overflowPunct/>
              <w:topLinePunct w:val="0"/>
              <w:bidi w:val="0"/>
              <w:adjustRightInd w:val="0"/>
              <w:spacing w:line="288" w:lineRule="auto"/>
              <w:jc w:val="left"/>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rPr>
              <w:t>根据投标人提供的合同票据、产品情况等材料进行认定，无材料的，不得分。</w:t>
            </w:r>
          </w:p>
        </w:tc>
        <w:tc>
          <w:tcPr>
            <w:tcW w:w="710" w:type="dxa"/>
            <w:vAlign w:val="center"/>
          </w:tcPr>
          <w:p w14:paraId="1C333826">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投标人资信</w:t>
            </w:r>
          </w:p>
        </w:tc>
        <w:tc>
          <w:tcPr>
            <w:tcW w:w="7515" w:type="dxa"/>
            <w:vAlign w:val="center"/>
          </w:tcPr>
          <w:p w14:paraId="6409342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具备一级代理资格或者厂家直销得3分；二级代理得2分；其他得1分。</w:t>
            </w:r>
          </w:p>
          <w:p w14:paraId="323FA4D9">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依据各级授权书进行认定，未提交材料或提交材料不符合要求的，不得分。</w:t>
            </w:r>
          </w:p>
        </w:tc>
        <w:tc>
          <w:tcPr>
            <w:tcW w:w="710" w:type="dxa"/>
            <w:vAlign w:val="center"/>
          </w:tcPr>
          <w:p w14:paraId="3EB5F360">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市场占有率</w:t>
            </w:r>
          </w:p>
        </w:tc>
        <w:tc>
          <w:tcPr>
            <w:tcW w:w="7515" w:type="dxa"/>
            <w:vAlign w:val="center"/>
          </w:tcPr>
          <w:p w14:paraId="46669FC3">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2022年1月1日以来医疗机构使用证明材料（发票及供货合同书，目录内半数产品覆盖为准），每提供1家医疗机构得1分，最高分值为4分；未提交材料或提交材料不符合要求的，不得分。</w:t>
            </w:r>
          </w:p>
        </w:tc>
        <w:tc>
          <w:tcPr>
            <w:tcW w:w="710" w:type="dxa"/>
            <w:vAlign w:val="center"/>
          </w:tcPr>
          <w:p w14:paraId="3E7DEE10">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产品质量</w:t>
            </w:r>
          </w:p>
        </w:tc>
        <w:tc>
          <w:tcPr>
            <w:tcW w:w="7515" w:type="dxa"/>
            <w:vAlign w:val="center"/>
          </w:tcPr>
          <w:p w14:paraId="0FC7CE8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1.对所投产品的性能稳定性、准确性和均一性进行评价打分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2283A4DF">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B0EE69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2.对所投产品的</w:t>
            </w:r>
            <w:r>
              <w:rPr>
                <w:rFonts w:hint="eastAsia" w:ascii="仿宋" w:hAnsi="仿宋" w:eastAsia="仿宋" w:cs="仿宋"/>
                <w:color w:val="auto"/>
                <w:sz w:val="22"/>
                <w:szCs w:val="18"/>
                <w:lang w:val="en-US" w:eastAsia="zh-CN"/>
              </w:rPr>
              <w:t>技术先进性</w:t>
            </w:r>
            <w:r>
              <w:rPr>
                <w:rFonts w:hint="eastAsia" w:ascii="仿宋" w:hAnsi="仿宋" w:eastAsia="仿宋" w:cs="仿宋"/>
                <w:color w:val="auto"/>
                <w:sz w:val="22"/>
                <w:szCs w:val="18"/>
              </w:rPr>
              <w:t>、临床实用性进行评价打分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1D685A1C">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00F63DA0">
            <w:pPr>
              <w:kinsoku/>
              <w:overflowPunct/>
              <w:topLinePunct w:val="0"/>
              <w:bidi w:val="0"/>
              <w:adjustRightInd w:val="0"/>
              <w:spacing w:line="288" w:lineRule="auto"/>
              <w:jc w:val="left"/>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r>
              <w:rPr>
                <w:rFonts w:hint="eastAsia" w:ascii="仿宋" w:hAnsi="仿宋" w:eastAsia="仿宋" w:cs="仿宋"/>
                <w:color w:val="auto"/>
                <w:sz w:val="22"/>
                <w:szCs w:val="18"/>
              </w:rPr>
              <w:t>对所投产品的用户认可度、在不同类型医院（包括但不限于三甲医院）的使用情况等方面进行评价打分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lang w:val="en-US" w:eastAsia="zh-CN"/>
              </w:rPr>
              <w:t>根据用户满意度评价</w:t>
            </w:r>
            <w:r>
              <w:rPr>
                <w:rFonts w:hint="eastAsia" w:ascii="仿宋" w:hAnsi="仿宋" w:eastAsia="仿宋" w:cs="仿宋"/>
                <w:color w:val="auto"/>
                <w:sz w:val="22"/>
                <w:szCs w:val="18"/>
              </w:rPr>
              <w:t>、</w:t>
            </w:r>
            <w:r>
              <w:rPr>
                <w:rFonts w:hint="eastAsia" w:ascii="仿宋" w:hAnsi="仿宋" w:eastAsia="仿宋" w:cs="仿宋"/>
                <w:color w:val="auto"/>
                <w:sz w:val="22"/>
                <w:szCs w:val="18"/>
                <w:lang w:val="en-US" w:eastAsia="zh-CN"/>
              </w:rPr>
              <w:t>医院使用证明材料等相关材料</w:t>
            </w:r>
            <w:r>
              <w:rPr>
                <w:rFonts w:hint="eastAsia" w:ascii="仿宋" w:hAnsi="仿宋" w:eastAsia="仿宋" w:cs="仿宋"/>
                <w:color w:val="auto"/>
                <w:sz w:val="22"/>
                <w:szCs w:val="18"/>
              </w:rPr>
              <w:t>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376A7161">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售后服务</w:t>
            </w:r>
          </w:p>
        </w:tc>
        <w:tc>
          <w:tcPr>
            <w:tcW w:w="7515" w:type="dxa"/>
            <w:vAlign w:val="center"/>
          </w:tcPr>
          <w:p w14:paraId="7BCBC49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auto"/>
                <w:sz w:val="22"/>
                <w:szCs w:val="18"/>
                <w:lang w:eastAsia="zh-CN"/>
              </w:rPr>
              <w:t>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tc>
        <w:tc>
          <w:tcPr>
            <w:tcW w:w="710" w:type="dxa"/>
            <w:vAlign w:val="center"/>
          </w:tcPr>
          <w:p w14:paraId="16F8F895">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C4D235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2.提供能满足采购人退换货要求的得3分，不提供相关承诺不得分。</w:t>
            </w:r>
          </w:p>
        </w:tc>
        <w:tc>
          <w:tcPr>
            <w:tcW w:w="710" w:type="dxa"/>
            <w:vAlign w:val="center"/>
          </w:tcPr>
          <w:p w14:paraId="63188DCA">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6B89DE">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3.制定配送方案，保障产品的及时送达。根据配送方案的可行性、完整性、保障应急措施的有效性进行打分。(本项分值设置为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p w14:paraId="3768E5A1">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不提供具体、可行配送方案的不得分。</w:t>
            </w:r>
          </w:p>
        </w:tc>
        <w:tc>
          <w:tcPr>
            <w:tcW w:w="710" w:type="dxa"/>
            <w:vAlign w:val="center"/>
          </w:tcPr>
          <w:p w14:paraId="6AD70AED">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757036">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4.提供能满足应急或突发事件需求的方案，依据方案的可行性、合理性、科学性等进行评分。(本项分值设置为3,2,1,0.5,0分)</w:t>
            </w:r>
          </w:p>
        </w:tc>
        <w:tc>
          <w:tcPr>
            <w:tcW w:w="710" w:type="dxa"/>
            <w:vAlign w:val="center"/>
          </w:tcPr>
          <w:p w14:paraId="670DD891">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其他优惠条件</w:t>
            </w:r>
          </w:p>
        </w:tc>
        <w:tc>
          <w:tcPr>
            <w:tcW w:w="7515" w:type="dxa"/>
            <w:vAlign w:val="center"/>
          </w:tcPr>
          <w:p w14:paraId="10791605">
            <w:pPr>
              <w:kinsoku/>
              <w:overflowPunct/>
              <w:topLinePunct w:val="0"/>
              <w:bidi w:val="0"/>
              <w:adjustRightInd w:val="0"/>
              <w:spacing w:line="288" w:lineRule="auto"/>
              <w:jc w:val="left"/>
              <w:rPr>
                <w:rFonts w:ascii="仿宋" w:hAnsi="仿宋" w:eastAsia="仿宋" w:cs="仿宋"/>
                <w:color w:val="auto"/>
                <w:sz w:val="22"/>
                <w:szCs w:val="18"/>
              </w:rPr>
            </w:pPr>
            <w:r>
              <w:rPr>
                <w:rFonts w:hint="eastAsia" w:ascii="仿宋" w:hAnsi="仿宋" w:eastAsia="仿宋" w:cs="宋体"/>
                <w:b w:val="0"/>
                <w:bCs/>
                <w:color w:val="auto"/>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auto"/>
                <w:sz w:val="22"/>
                <w:szCs w:val="18"/>
              </w:rPr>
              <w:t>)</w:t>
            </w:r>
          </w:p>
        </w:tc>
        <w:tc>
          <w:tcPr>
            <w:tcW w:w="710" w:type="dxa"/>
            <w:vAlign w:val="center"/>
          </w:tcPr>
          <w:p w14:paraId="4A1B08B5">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color w:val="auto"/>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D3A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both"/>
        <w:rPr>
          <w:rFonts w:hint="eastAsia" w:ascii="仿宋" w:hAnsi="仿宋" w:eastAsia="仿宋" w:cs="仿宋"/>
          <w:b/>
          <w:bCs/>
          <w:color w:val="auto"/>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绍兴文理学院附属医院血糖试纸等采购项目（三次）</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绍兴大学附属医院（绍兴文理学院附属医院）</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绍兴文理学院附属医院血糖试纸等采购项目（三次）</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绍兴大学附属医院（绍兴文理学院附属医院）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绍兴文理学院附属医院血糖试纸等采购项目（三次）</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1312"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1312;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2336"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2336;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2</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88"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
        <w:gridCol w:w="7326"/>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95"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95"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95"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rPr>
              <w:t>具体格式见附件</w:t>
            </w:r>
            <w:r>
              <w:rPr>
                <w:rFonts w:hint="eastAsia" w:ascii="仿宋" w:hAnsi="仿宋" w:eastAsia="仿宋" w:cs="仿宋"/>
                <w:b/>
                <w:bCs/>
                <w:color w:val="auto"/>
                <w:szCs w:val="21"/>
                <w:lang w:val="en-US" w:eastAsia="zh-CN"/>
              </w:rPr>
              <w:t>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95"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（如有）项目配套服务中涉及提供的设备，供应商须承诺根据临床要求，接入医院LIS/HIS系统，相应费用包含在投标报价中，不单独报价。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95"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各标段（有约定的）需包含所有相关配套设备、耗材、质控品、校准品、定标液、样品杯等配套耗材及实际质控校准所消耗试剂，以保证临床使用，均包含在投标报价中，不单独报价。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color w:val="auto"/>
                <w:szCs w:val="21"/>
              </w:rPr>
            </w:pPr>
            <w:r>
              <w:rPr>
                <w:rFonts w:hint="eastAsia" w:ascii="仿宋" w:hAnsi="仿宋" w:eastAsia="仿宋" w:cs="仿宋"/>
                <w:b w:val="0"/>
                <w:bCs w:val="0"/>
                <w:color w:val="auto"/>
                <w:sz w:val="24"/>
                <w:szCs w:val="24"/>
                <w:lang w:val="en-US" w:eastAsia="zh-CN"/>
              </w:rPr>
              <w:t>5</w:t>
            </w:r>
          </w:p>
        </w:tc>
        <w:tc>
          <w:tcPr>
            <w:tcW w:w="3895"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耗材类配送需要通过</w:t>
            </w:r>
            <w:r>
              <w:rPr>
                <w:rFonts w:hint="eastAsia" w:ascii="仿宋" w:hAnsi="仿宋" w:eastAsia="仿宋" w:cs="仿宋"/>
                <w:color w:val="auto"/>
                <w:szCs w:val="21"/>
                <w:lang w:val="en-US" w:eastAsia="zh-CN"/>
              </w:rPr>
              <w:t>绍兴大学附属医院（绍兴文理学院附属医院）</w:t>
            </w:r>
            <w:r>
              <w:rPr>
                <w:rFonts w:hint="eastAsia" w:ascii="仿宋" w:hAnsi="仿宋" w:eastAsia="仿宋" w:cs="仿宋"/>
                <w:color w:val="auto"/>
                <w:szCs w:val="21"/>
                <w:lang w:val="en-US" w:eastAsia="zh-CN"/>
              </w:rPr>
              <w:t>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95"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60F5157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D7A5A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5AE0D8F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6CCCA07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55AAE18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2C634FD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16101EC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2DA99F4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695FC8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0F26053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70B5A1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6F07DD9C">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0C18FED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06FC441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10A5E1E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35CF41F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5066537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4B91FEB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358042F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571CE6ED">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04D2FFB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w:t>
      </w:r>
      <w:r>
        <w:rPr>
          <w:rFonts w:hint="eastAsia" w:ascii="仿宋" w:hAnsi="仿宋" w:eastAsia="仿宋"/>
          <w:bCs/>
          <w:color w:val="auto"/>
          <w:sz w:val="24"/>
        </w:rPr>
        <w:t>绍兴大学附属医院（绍兴文理学院附属医院）</w:t>
      </w:r>
      <w:r>
        <w:rPr>
          <w:rFonts w:hint="eastAsia" w:ascii="仿宋" w:hAnsi="仿宋" w:eastAsia="仿宋"/>
          <w:bCs/>
          <w:color w:val="auto"/>
          <w:sz w:val="24"/>
        </w:rPr>
        <w:t>负责解释。</w:t>
      </w:r>
    </w:p>
    <w:p w14:paraId="6F975CAD">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hint="eastAsia" w:ascii="仿宋" w:hAnsi="仿宋" w:eastAsia="仿宋" w:cs="仿宋"/>
          <w:color w:val="auto"/>
          <w:sz w:val="24"/>
          <w:szCs w:val="24"/>
        </w:rPr>
      </w:pPr>
    </w:p>
    <w:p w14:paraId="6C0490D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4B902B24">
      <w:pPr>
        <w:kinsoku/>
        <w:overflowPunct/>
        <w:topLinePunct w:val="0"/>
        <w:bidi w:val="0"/>
        <w:snapToGrid w:val="0"/>
        <w:spacing w:before="50" w:after="50" w:line="288" w:lineRule="auto"/>
        <w:ind w:firstLine="560"/>
        <w:rPr>
          <w:rFonts w:ascii="仿宋" w:hAnsi="仿宋" w:eastAsia="仿宋" w:cs="仿宋"/>
          <w:color w:val="auto"/>
          <w:spacing w:val="20"/>
          <w:sz w:val="24"/>
          <w:szCs w:val="24"/>
        </w:rPr>
      </w:pPr>
    </w:p>
    <w:p w14:paraId="4B4FDD84">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bookmarkStart w:id="18" w:name="_Toc64369812"/>
      <w:bookmarkEnd w:id="18"/>
      <w:bookmarkStart w:id="19" w:name="_Toc64369808"/>
      <w:bookmarkEnd w:id="19"/>
      <w:bookmarkStart w:id="20" w:name="_Toc64369809"/>
      <w:bookmarkEnd w:id="20"/>
      <w:bookmarkStart w:id="21" w:name="_Toc64369807"/>
      <w:bookmarkEnd w:id="21"/>
      <w:bookmarkStart w:id="22" w:name="_Toc64369804"/>
      <w:bookmarkEnd w:id="22"/>
      <w:bookmarkStart w:id="23" w:name="_Toc64369810"/>
      <w:bookmarkEnd w:id="23"/>
      <w:bookmarkStart w:id="24" w:name="_Toc64369813"/>
      <w:bookmarkEnd w:id="24"/>
      <w:bookmarkStart w:id="25" w:name="_Toc64369811"/>
      <w:bookmarkEnd w:id="25"/>
      <w:bookmarkStart w:id="26" w:name="_Toc64369805"/>
      <w:bookmarkEnd w:id="26"/>
      <w:bookmarkStart w:id="27" w:name="_Toc64369814"/>
      <w:bookmarkEnd w:id="27"/>
      <w:bookmarkStart w:id="28" w:name="_Toc64369806"/>
      <w:bookmarkEnd w:id="28"/>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3360"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3360;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4384"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4384;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10A9E0C">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5036BF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087F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BF6B5B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7E597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B060B8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A77CBC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3B5F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D37EE9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39D17A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4C75F9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CF9C2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D31FC5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DEEC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FC3D3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753F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86CE2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90AD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36D2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91E17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E18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F03487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552AE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940E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795F7A91">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16AAC383">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01B367B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195B3ED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CBE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C864A1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0B48BB4F">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7B714C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6957BC5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1814593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6359EFA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F55B2D8">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7AEC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D57BE6E">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4F74A00A">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95CBDD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7D6328F">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CBB34E2">
            <w:pPr>
              <w:kinsoku/>
              <w:overflowPunct/>
              <w:topLinePunct w:val="0"/>
              <w:bidi w:val="0"/>
              <w:spacing w:line="288" w:lineRule="auto"/>
              <w:rPr>
                <w:rFonts w:ascii="仿宋" w:hAnsi="仿宋" w:eastAsia="仿宋" w:cs="仿宋"/>
                <w:color w:val="auto"/>
                <w:sz w:val="24"/>
                <w:szCs w:val="24"/>
              </w:rPr>
            </w:pPr>
          </w:p>
        </w:tc>
      </w:tr>
      <w:tr w14:paraId="31D4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895AA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5804A422">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7D5183A">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007957A">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54A18D3">
            <w:pPr>
              <w:kinsoku/>
              <w:overflowPunct/>
              <w:topLinePunct w:val="0"/>
              <w:bidi w:val="0"/>
              <w:spacing w:line="288" w:lineRule="auto"/>
              <w:rPr>
                <w:rFonts w:ascii="仿宋" w:hAnsi="仿宋" w:eastAsia="仿宋" w:cs="仿宋"/>
                <w:color w:val="auto"/>
                <w:sz w:val="24"/>
                <w:szCs w:val="24"/>
              </w:rPr>
            </w:pPr>
          </w:p>
        </w:tc>
      </w:tr>
      <w:tr w14:paraId="0C5E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05BED3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1EA4491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A901A3E">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57BDB62C">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C9C903A">
            <w:pPr>
              <w:kinsoku/>
              <w:overflowPunct/>
              <w:topLinePunct w:val="0"/>
              <w:bidi w:val="0"/>
              <w:spacing w:line="288" w:lineRule="auto"/>
              <w:rPr>
                <w:rFonts w:ascii="仿宋" w:hAnsi="仿宋" w:eastAsia="仿宋" w:cs="仿宋"/>
                <w:color w:val="auto"/>
                <w:sz w:val="24"/>
                <w:szCs w:val="24"/>
              </w:rPr>
            </w:pPr>
          </w:p>
        </w:tc>
      </w:tr>
    </w:tbl>
    <w:p w14:paraId="735F848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722CFE99">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095689A6">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2B22AC75">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7C1D8BD">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3BE894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EA74C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FCD9B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97D2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8A63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34E4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12</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绍兴文理学院附属医院血糖试纸等采购项目（三次）</w:t>
    </w:r>
    <w:r>
      <w:rPr>
        <w:rFonts w:hint="eastAsia"/>
      </w:rPr>
      <w:t>（</w:t>
    </w:r>
    <w:r>
      <w:rPr>
        <w:rFonts w:hint="eastAsia"/>
        <w:lang w:eastAsia="zh-CN"/>
      </w:rPr>
      <w:t>YH202</w:t>
    </w:r>
    <w:r>
      <w:rPr>
        <w:rFonts w:hint="eastAsia"/>
        <w:lang w:val="en-US" w:eastAsia="zh-CN"/>
      </w:rPr>
      <w:t>5</w:t>
    </w:r>
    <w:r>
      <w:rPr>
        <w:rFonts w:hint="eastAsia"/>
        <w:lang w:eastAsia="zh-CN"/>
      </w:rPr>
      <w:t>-</w:t>
    </w:r>
    <w:r>
      <w:rPr>
        <w:rFonts w:hint="eastAsia"/>
        <w:lang w:val="en-US" w:eastAsia="zh-CN"/>
      </w:rPr>
      <w:t>11027-2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0"/>
      <w:jc w:val="left"/>
      <w:rPr>
        <w:rFonts w:hint="eastAsia"/>
        <w:lang w:eastAsia="zh-CN"/>
      </w:rPr>
    </w:pPr>
    <w:r>
      <w:rPr>
        <w:rFonts w:hint="eastAsia"/>
        <w:lang w:eastAsia="zh-CN"/>
      </w:rPr>
      <w:t>绍兴文理学院附属医院血糖试纸等采购项目（三次）（YH2025-11027-2）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5CFF">
    <w:pPr>
      <w:pStyle w:val="20"/>
      <w:jc w:val="left"/>
    </w:pPr>
    <w:r>
      <w:rPr>
        <w:rFonts w:hint="eastAsia"/>
        <w:lang w:eastAsia="zh-CN"/>
      </w:rPr>
      <w:t>绍兴文理学院附属医院血糖试纸等采购项目（三次）（YH2025-11027-2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EB63FD"/>
    <w:rsid w:val="25FE2CDB"/>
    <w:rsid w:val="26321A29"/>
    <w:rsid w:val="263D1CFC"/>
    <w:rsid w:val="265C2AE3"/>
    <w:rsid w:val="26FA3557"/>
    <w:rsid w:val="27483DC1"/>
    <w:rsid w:val="28415C57"/>
    <w:rsid w:val="28CF0993"/>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B60176"/>
    <w:rsid w:val="3ABB5337"/>
    <w:rsid w:val="3B62605C"/>
    <w:rsid w:val="3C30773C"/>
    <w:rsid w:val="3C9B5361"/>
    <w:rsid w:val="3D2A2A57"/>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B432979"/>
    <w:rsid w:val="4CEF795D"/>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3C3055D"/>
    <w:rsid w:val="63E322D9"/>
    <w:rsid w:val="63FB4E0D"/>
    <w:rsid w:val="64665646"/>
    <w:rsid w:val="65C60088"/>
    <w:rsid w:val="66B111C2"/>
    <w:rsid w:val="67845082"/>
    <w:rsid w:val="68A3173F"/>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62</Pages>
  <Words>18596</Words>
  <Characters>20011</Characters>
  <Lines>392</Lines>
  <Paragraphs>110</Paragraphs>
  <TotalTime>46</TotalTime>
  <ScaleCrop>false</ScaleCrop>
  <LinksUpToDate>false</LinksUpToDate>
  <CharactersWithSpaces>20323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2026-04-08T08:26:00Z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