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328CA5CC">
      <w:pPr>
        <w:kinsoku/>
        <w:overflowPunct/>
        <w:topLinePunct w:val="0"/>
        <w:bidi w:val="0"/>
        <w:spacing w:line="288" w:lineRule="auto"/>
        <w:jc w:val="center"/>
        <w:rPr>
          <w:rFonts w:hint="eastAsia" w:ascii="仿宋" w:hAnsi="仿宋" w:eastAsia="仿宋" w:cs="仿宋"/>
          <w:b/>
          <w:color w:val="auto"/>
          <w:sz w:val="48"/>
          <w:szCs w:val="48"/>
          <w:lang w:eastAsia="zh-CN"/>
        </w:rPr>
      </w:pPr>
      <w:r>
        <w:rPr>
          <w:rFonts w:hint="eastAsia" w:ascii="仿宋" w:hAnsi="仿宋" w:eastAsia="仿宋" w:cs="仿宋"/>
          <w:b/>
          <w:color w:val="auto"/>
          <w:sz w:val="48"/>
          <w:szCs w:val="48"/>
          <w:lang w:eastAsia="zh-CN"/>
        </w:rPr>
        <w:t>绍兴文理学院附属医院血糖试纸等采购项目（三次）</w:t>
      </w:r>
    </w:p>
    <w:p w14:paraId="2A285713">
      <w:pPr>
        <w:kinsoku/>
        <w:overflowPunct/>
        <w:topLinePunct w:val="0"/>
        <w:bidi w:val="0"/>
        <w:spacing w:line="288" w:lineRule="auto"/>
        <w:jc w:val="center"/>
        <w:rPr>
          <w:rFonts w:hint="eastAsia" w:ascii="仿宋" w:hAnsi="仿宋" w:eastAsia="仿宋" w:cs="仿宋"/>
          <w:b/>
          <w:bCs/>
          <w:color w:val="auto"/>
          <w:sz w:val="72"/>
          <w:szCs w:val="72"/>
        </w:rPr>
      </w:pP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16559D2B">
      <w:pPr>
        <w:kinsoku/>
        <w:overflowPunct/>
        <w:topLinePunct w:val="0"/>
        <w:bidi w:val="0"/>
        <w:spacing w:line="288" w:lineRule="auto"/>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YH2026-11027-2</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采购单位：绍兴大学附属医院（绍兴文理学院附属医院）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 xml:space="preserve">4 </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13894197"/>
      <w:bookmarkStart w:id="2" w:name="_Hlk132273255"/>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绍兴大学附属医院（绍兴文理学院附属医院）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绍兴文理学院附属医院血糖试纸等采购项目（三次）</w:t>
      </w:r>
    </w:p>
    <w:p w14:paraId="343B1300">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YH2025-11027-2</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绍兴文理学院附属医院血糖试纸等采购项目（三次）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596330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ascii="仿宋" w:hAnsi="仿宋" w:eastAsia="仿宋" w:cs="仿宋"/>
          <w:color w:val="auto"/>
          <w:sz w:val="24"/>
          <w:szCs w:val="24"/>
        </w:rPr>
        <w:t>.</w:t>
      </w:r>
      <w:r>
        <w:rPr>
          <w:rFonts w:hint="eastAsia" w:ascii="仿宋" w:hAnsi="仿宋" w:eastAsia="仿宋" w:cs="仿宋"/>
          <w:color w:val="auto"/>
          <w:sz w:val="24"/>
          <w:szCs w:val="24"/>
          <w:lang w:eastAsia="zh-CN"/>
        </w:rPr>
        <w:t>（如有）</w:t>
      </w:r>
      <w:r>
        <w:rPr>
          <w:rFonts w:hint="eastAsia" w:ascii="仿宋" w:hAnsi="仿宋" w:eastAsia="仿宋" w:cs="仿宋"/>
          <w:color w:val="auto"/>
          <w:sz w:val="24"/>
          <w:szCs w:val="24"/>
        </w:rPr>
        <w:t>项目配套服务中涉及提供的设备，供应商须承诺根据临床要求，接入医院LIS/HIS系统，相应费用包含在投标报价中，不单独报价。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.各标段（有约定的）需包含所有相关配套设备、耗材、质控品、校准品、定标液、样品杯等配套耗材及实际质控校准</w:t>
      </w:r>
      <w:r>
        <w:rPr>
          <w:rFonts w:hint="eastAsia" w:ascii="仿宋" w:hAnsi="仿宋" w:eastAsia="仿宋" w:cs="仿宋"/>
          <w:color w:val="auto"/>
          <w:sz w:val="24"/>
          <w:szCs w:val="24"/>
          <w:lang w:eastAsia="zh-CN"/>
        </w:rPr>
        <w:t>所</w:t>
      </w:r>
      <w:r>
        <w:rPr>
          <w:rFonts w:hint="eastAsia" w:ascii="仿宋" w:hAnsi="仿宋" w:eastAsia="仿宋" w:cs="仿宋"/>
          <w:color w:val="auto"/>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rPr>
        <w:t>耗材类配送需要通过绍兴大学附属医院（绍兴文理学院附属医院）SPD物资管理系统进行配送结算，产生费用由供应商与SPD管理公司自行协商。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21</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4</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28</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7"/>
      <w:bookmarkEnd w:id="5"/>
      <w:bookmarkStart w:id="6" w:name="_Hlt10553106"/>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绍兴大学附属医院（绍兴文理学院附属医院）：</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w:t>
      </w:r>
      <w:r>
        <w:rPr>
          <w:rFonts w:hint="eastAsia" w:ascii="仿宋" w:hAnsi="仿宋" w:eastAsia="仿宋" w:cs="仿宋"/>
          <w:color w:val="auto"/>
          <w:sz w:val="24"/>
          <w:u w:val="single"/>
          <w:lang w:eastAsia="zh-CN"/>
        </w:rPr>
        <w:t>大学</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绍兴大学附属医院（绍兴文理学院附属医院）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罗老师/韩老师，联系电话：0575-88293129/0575-88293030。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u w:val="single"/>
        </w:rPr>
      </w:pPr>
      <w:r>
        <w:rPr>
          <w:rFonts w:hint="eastAsia" w:ascii="仿宋" w:hAnsi="仿宋" w:eastAsia="仿宋" w:cs="仿宋"/>
          <w:color w:val="auto"/>
          <w:kern w:val="0"/>
          <w:sz w:val="24"/>
          <w:u w:val="single"/>
        </w:rPr>
        <w:t>绍兴大学附属医院（绍兴文理学院附属医院）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4月7</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325F257D">
      <w:pPr>
        <w:kinsoku/>
        <w:overflowPunct/>
        <w:topLinePunct w:val="0"/>
        <w:bidi w:val="0"/>
        <w:spacing w:line="288" w:lineRule="auto"/>
        <w:jc w:val="center"/>
        <w:rPr>
          <w:rFonts w:hint="eastAsia" w:ascii="仿宋" w:hAnsi="仿宋" w:eastAsia="仿宋" w:cs="仿宋"/>
          <w:b/>
          <w:bCs/>
          <w:color w:val="auto"/>
          <w:sz w:val="44"/>
          <w:szCs w:val="44"/>
        </w:rPr>
      </w:pPr>
    </w:p>
    <w:p w14:paraId="6F74CB90">
      <w:pPr>
        <w:kinsoku/>
        <w:overflowPunct/>
        <w:topLinePunct w:val="0"/>
        <w:bidi w:val="0"/>
        <w:spacing w:line="288" w:lineRule="auto"/>
        <w:jc w:val="center"/>
        <w:rPr>
          <w:rFonts w:hint="eastAsia" w:ascii="仿宋" w:hAnsi="仿宋" w:eastAsia="仿宋" w:cs="仿宋"/>
          <w:b/>
          <w:bCs/>
          <w:color w:val="auto"/>
          <w:sz w:val="44"/>
          <w:szCs w:val="44"/>
        </w:rPr>
      </w:pPr>
    </w:p>
    <w:p w14:paraId="3C123357">
      <w:pPr>
        <w:kinsoku/>
        <w:overflowPunct/>
        <w:topLinePunct w:val="0"/>
        <w:bidi w:val="0"/>
        <w:spacing w:line="288" w:lineRule="auto"/>
        <w:jc w:val="center"/>
        <w:rPr>
          <w:rFonts w:hint="eastAsia" w:ascii="仿宋" w:hAnsi="仿宋" w:eastAsia="仿宋" w:cs="仿宋"/>
          <w:b/>
          <w:bCs/>
          <w:color w:val="auto"/>
          <w:sz w:val="44"/>
          <w:szCs w:val="44"/>
        </w:rPr>
      </w:pPr>
    </w:p>
    <w:p w14:paraId="22D707A2">
      <w:pPr>
        <w:kinsoku/>
        <w:overflowPunct/>
        <w:topLinePunct w:val="0"/>
        <w:bidi w:val="0"/>
        <w:spacing w:line="288" w:lineRule="auto"/>
        <w:jc w:val="center"/>
        <w:rPr>
          <w:rFonts w:hint="eastAsia" w:ascii="仿宋" w:hAnsi="仿宋" w:eastAsia="仿宋" w:cs="仿宋"/>
          <w:b/>
          <w:bCs/>
          <w:color w:val="auto"/>
          <w:sz w:val="44"/>
          <w:szCs w:val="44"/>
        </w:rPr>
      </w:pPr>
    </w:p>
    <w:p w14:paraId="2DAF79A1">
      <w:pPr>
        <w:kinsoku/>
        <w:overflowPunct/>
        <w:topLinePunct w:val="0"/>
        <w:bidi w:val="0"/>
        <w:spacing w:line="288" w:lineRule="auto"/>
        <w:jc w:val="center"/>
        <w:rPr>
          <w:rFonts w:hint="eastAsia" w:ascii="仿宋" w:hAnsi="仿宋" w:eastAsia="仿宋" w:cs="仿宋"/>
          <w:b/>
          <w:bCs/>
          <w:color w:val="auto"/>
          <w:sz w:val="44"/>
          <w:szCs w:val="44"/>
        </w:rPr>
      </w:pPr>
    </w:p>
    <w:p w14:paraId="0FE6327C">
      <w:pPr>
        <w:kinsoku/>
        <w:overflowPunct/>
        <w:topLinePunct w:val="0"/>
        <w:bidi w:val="0"/>
        <w:spacing w:line="288" w:lineRule="auto"/>
        <w:jc w:val="both"/>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是否进口产品：</w:t>
            </w:r>
            <w:r>
              <w:rPr>
                <w:rFonts w:hint="eastAsia" w:ascii="仿宋" w:hAnsi="仿宋" w:eastAsia="仿宋" w:cs="仿宋"/>
                <w:color w:val="auto"/>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投标文件份数：正本一份，副本四份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ascii="仿宋" w:hAnsi="仿宋" w:eastAsia="仿宋" w:cs="仿宋"/>
                <w:color w:val="auto"/>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ascii="仿宋" w:hAnsi="仿宋" w:eastAsia="仿宋" w:cs="仿宋"/>
                <w:color w:val="auto"/>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1D6B724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评审环节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要求所有有效投标人在规定时间内提交最后报价（</w:t>
      </w:r>
      <w:r>
        <w:rPr>
          <w:rFonts w:hint="eastAsia" w:ascii="仿宋" w:hAnsi="仿宋" w:eastAsia="仿宋" w:cs="仿宋"/>
          <w:color w:val="auto"/>
          <w:sz w:val="24"/>
          <w:highlight w:val="none"/>
          <w:lang w:val="en-US" w:eastAsia="zh-CN"/>
        </w:rPr>
        <w:t>价格评审以</w:t>
      </w:r>
      <w:r>
        <w:rPr>
          <w:rFonts w:hint="eastAsia" w:ascii="仿宋" w:hAnsi="仿宋" w:eastAsia="仿宋" w:cs="仿宋"/>
          <w:color w:val="auto"/>
          <w:sz w:val="24"/>
          <w:highlight w:val="none"/>
        </w:rPr>
        <w:t>最后报价</w:t>
      </w:r>
      <w:r>
        <w:rPr>
          <w:rFonts w:hint="eastAsia" w:ascii="仿宋" w:hAnsi="仿宋" w:eastAsia="仿宋" w:cs="仿宋"/>
          <w:color w:val="auto"/>
          <w:sz w:val="24"/>
          <w:highlight w:val="none"/>
          <w:lang w:val="en-US" w:eastAsia="zh-CN"/>
        </w:rPr>
        <w:t>为准</w:t>
      </w:r>
      <w:r>
        <w:rPr>
          <w:rFonts w:hint="eastAsia" w:ascii="仿宋" w:hAnsi="仿宋" w:eastAsia="仿宋" w:cs="仿宋"/>
          <w:color w:val="auto"/>
          <w:sz w:val="24"/>
          <w:highlight w:val="none"/>
        </w:rPr>
        <w:t>，最后报价不得高于初次报价）</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4.1采购人如对招标文件进行澄清、补充、变更的，或者在投标截止时间前规定时间内，采购人需要对招标文件进行补充或修改的，采购人将会通过绍兴大学附属医院（绍兴文理学院附属医院）：</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7401E0D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rPr>
        <w:t>投标产品质量相关</w:t>
      </w:r>
      <w:r>
        <w:rPr>
          <w:rFonts w:hint="eastAsia" w:ascii="仿宋" w:hAnsi="仿宋" w:eastAsia="仿宋" w:cs="仿宋"/>
          <w:color w:val="auto"/>
          <w:highlight w:val="none"/>
          <w:lang w:eastAsia="zh-CN"/>
        </w:rPr>
        <w:t>资料；</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1AF7CA48">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40"/>
          <w:szCs w:val="36"/>
        </w:rPr>
      </w:pPr>
    </w:p>
    <w:p w14:paraId="577D9469">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2BA5E3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019A660">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ECC99E7">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DD05BC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A1114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50944D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430D7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B6CC14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E1EBCE">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662C659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D6DFC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CD854C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1DF987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B9565A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AEC652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5B5300BC">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9484" w:type="dxa"/>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6"/>
        <w:gridCol w:w="1193"/>
        <w:gridCol w:w="1613"/>
        <w:gridCol w:w="694"/>
        <w:gridCol w:w="919"/>
        <w:gridCol w:w="871"/>
        <w:gridCol w:w="1032"/>
        <w:gridCol w:w="1033"/>
        <w:gridCol w:w="1403"/>
      </w:tblGrid>
      <w:tr w14:paraId="452B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0A5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标段</w:t>
            </w: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EC38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目录名称</w:t>
            </w:r>
          </w:p>
        </w:tc>
        <w:tc>
          <w:tcPr>
            <w:tcW w:w="16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49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参考规格、型号</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997D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9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783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上限价（元）</w:t>
            </w:r>
          </w:p>
        </w:tc>
        <w:tc>
          <w:tcPr>
            <w:tcW w:w="8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D447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年参考使用量</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C2D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年参考总金额（元）</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5C74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是否需提供样品</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918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3BC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9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7D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单髁膝关节系统（包含固定和活动平台）</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70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整套单髁，包括股骨部件、胫骨衬垫、胫骨托，允许按分项报价，整套价格不超过本次单价。</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BB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11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9360</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D4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2D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93600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1BB">
            <w:pPr>
              <w:jc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9421">
            <w:pPr>
              <w:jc w:val="left"/>
              <w:rPr>
                <w:rFonts w:hint="eastAsia" w:ascii="宋体" w:hAnsi="宋体" w:eastAsia="宋体" w:cs="宋体"/>
                <w:i w:val="0"/>
                <w:iCs w:val="0"/>
                <w:color w:val="auto"/>
                <w:sz w:val="20"/>
                <w:szCs w:val="20"/>
                <w:highlight w:val="none"/>
                <w:u w:val="none"/>
              </w:rPr>
            </w:pPr>
          </w:p>
        </w:tc>
      </w:tr>
      <w:tr w14:paraId="1D86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B0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71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骨科跗骨螺钉</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7F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跗骨手术螺钉</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4E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70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F4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16380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70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81900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2877">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77A1">
            <w:pPr>
              <w:jc w:val="left"/>
              <w:rPr>
                <w:rFonts w:hint="eastAsia" w:ascii="宋体" w:hAnsi="宋体" w:eastAsia="宋体" w:cs="宋体"/>
                <w:i w:val="0"/>
                <w:iCs w:val="0"/>
                <w:color w:val="auto"/>
                <w:sz w:val="20"/>
                <w:szCs w:val="20"/>
                <w:u w:val="none"/>
              </w:rPr>
            </w:pPr>
          </w:p>
        </w:tc>
      </w:tr>
      <w:tr w14:paraId="3FFA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8FF5">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1E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按键回弹式采血器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C7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防针刺伤型</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5B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枚</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25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8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59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4400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598C">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487">
            <w:pPr>
              <w:jc w:val="left"/>
              <w:rPr>
                <w:rFonts w:hint="eastAsia" w:ascii="宋体" w:hAnsi="宋体" w:eastAsia="宋体" w:cs="宋体"/>
                <w:i w:val="0"/>
                <w:iCs w:val="0"/>
                <w:color w:val="auto"/>
                <w:sz w:val="20"/>
                <w:szCs w:val="20"/>
                <w:u w:val="none"/>
              </w:rPr>
            </w:pPr>
          </w:p>
        </w:tc>
      </w:tr>
      <w:tr w14:paraId="777D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4B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09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随身灸</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17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要求无烟，易取放</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22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93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80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7F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D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CFD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★一套产品包含灸具、艾柱，要求必须为每根艾柱配套一个灸具，不得重复使用，且灸材需为常规艾绒。</w:t>
            </w:r>
          </w:p>
        </w:tc>
      </w:tr>
      <w:tr w14:paraId="42087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449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15</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80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超声探头隔离套</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0F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宽度52±2mm</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2E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F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B1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5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7268">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4B0A">
            <w:pPr>
              <w:jc w:val="left"/>
              <w:rPr>
                <w:rFonts w:hint="eastAsia" w:ascii="宋体" w:hAnsi="宋体" w:eastAsia="宋体" w:cs="宋体"/>
                <w:i w:val="0"/>
                <w:iCs w:val="0"/>
                <w:color w:val="auto"/>
                <w:sz w:val="20"/>
                <w:szCs w:val="20"/>
                <w:u w:val="none"/>
              </w:rPr>
            </w:pPr>
          </w:p>
        </w:tc>
      </w:tr>
      <w:tr w14:paraId="07AC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A7F">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16</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FA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超声骨科动力系统（刀头）</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576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适配超声骨刀</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A0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F0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11000</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73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B0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C5B">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08E4">
            <w:pPr>
              <w:jc w:val="left"/>
              <w:rPr>
                <w:rFonts w:hint="eastAsia" w:ascii="宋体" w:hAnsi="宋体" w:eastAsia="宋体" w:cs="宋体"/>
                <w:i w:val="0"/>
                <w:iCs w:val="0"/>
                <w:color w:val="auto"/>
                <w:sz w:val="20"/>
                <w:szCs w:val="20"/>
                <w:u w:val="none"/>
              </w:rPr>
            </w:pPr>
          </w:p>
        </w:tc>
      </w:tr>
      <w:tr w14:paraId="3980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621D">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20</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19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医用棉签（五官）</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67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50支/包 15CM，五官专用</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C2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76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96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5E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CC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E2D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数量不一致请按最小单位金额报价</w:t>
            </w:r>
          </w:p>
        </w:tc>
      </w:tr>
      <w:tr w14:paraId="65CD7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E24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22</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D5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一次性使用防逆流引流袋</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0A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1000ML</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7D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E0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E0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D8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14950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E7F7">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4CAF">
            <w:pPr>
              <w:jc w:val="left"/>
              <w:rPr>
                <w:rFonts w:hint="eastAsia" w:ascii="宋体" w:hAnsi="宋体" w:eastAsia="宋体" w:cs="宋体"/>
                <w:i w:val="0"/>
                <w:iCs w:val="0"/>
                <w:color w:val="auto"/>
                <w:sz w:val="20"/>
                <w:szCs w:val="20"/>
                <w:u w:val="none"/>
              </w:rPr>
            </w:pPr>
          </w:p>
        </w:tc>
      </w:tr>
      <w:tr w14:paraId="3230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538">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31</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E4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骨蜡</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AA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2.5g，手术使用，参考强生W810T</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77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EB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9D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7A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4305</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68B1">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9040">
            <w:pPr>
              <w:jc w:val="left"/>
              <w:rPr>
                <w:rFonts w:hint="eastAsia" w:ascii="宋体" w:hAnsi="宋体" w:eastAsia="宋体" w:cs="宋体"/>
                <w:i w:val="0"/>
                <w:iCs w:val="0"/>
                <w:color w:val="auto"/>
                <w:sz w:val="20"/>
                <w:szCs w:val="20"/>
                <w:u w:val="none"/>
              </w:rPr>
            </w:pPr>
          </w:p>
        </w:tc>
      </w:tr>
      <w:tr w14:paraId="6A0D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EEF1A">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33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DB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一次性理疗电极（月牙钮扣形）</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1F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35mm或更多规格</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2C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66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9C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8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w:t>
            </w:r>
          </w:p>
        </w:tc>
        <w:tc>
          <w:tcPr>
            <w:tcW w:w="1033" w:type="dxa"/>
            <w:vMerge w:val="restart"/>
            <w:tcBorders>
              <w:top w:val="single" w:color="000000" w:sz="4" w:space="0"/>
              <w:left w:val="single" w:color="000000" w:sz="4" w:space="0"/>
              <w:right w:val="single" w:color="000000" w:sz="4" w:space="0"/>
            </w:tcBorders>
            <w:shd w:val="clear" w:color="auto" w:fill="auto"/>
            <w:vAlign w:val="center"/>
          </w:tcPr>
          <w:p w14:paraId="1A58A9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F81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用于儿童耳后理疗，通用纽扣</w:t>
            </w:r>
            <w:r>
              <w:rPr>
                <w:rFonts w:hint="eastAsia" w:ascii="宋体" w:hAnsi="宋体" w:cs="宋体"/>
                <w:i w:val="0"/>
                <w:iCs w:val="0"/>
                <w:color w:val="auto"/>
                <w:kern w:val="0"/>
                <w:sz w:val="20"/>
                <w:szCs w:val="20"/>
                <w:u w:val="none"/>
                <w:lang w:val="en-US" w:eastAsia="zh-CN" w:bidi="ar"/>
              </w:rPr>
              <w:t xml:space="preserve"> </w:t>
            </w:r>
          </w:p>
        </w:tc>
      </w:tr>
      <w:tr w14:paraId="78E4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FBF06">
            <w:pPr>
              <w:jc w:val="center"/>
              <w:rPr>
                <w:rFonts w:hint="eastAsia" w:ascii="宋体" w:hAnsi="宋体" w:eastAsia="宋体" w:cs="宋体"/>
                <w:i w:val="0"/>
                <w:iCs w:val="0"/>
                <w:color w:val="auto"/>
                <w:sz w:val="20"/>
                <w:szCs w:val="20"/>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BA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一次性理疗电极（插口型）</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0A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60*90mm、50*50或更多规格</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01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66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4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18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9000</w:t>
            </w:r>
          </w:p>
        </w:tc>
        <w:tc>
          <w:tcPr>
            <w:tcW w:w="1033" w:type="dxa"/>
            <w:vMerge w:val="continue"/>
            <w:tcBorders>
              <w:left w:val="single" w:color="000000" w:sz="4" w:space="0"/>
              <w:bottom w:val="single" w:color="000000" w:sz="4" w:space="0"/>
              <w:right w:val="single" w:color="000000" w:sz="4" w:space="0"/>
            </w:tcBorders>
            <w:shd w:val="clear" w:color="auto" w:fill="auto"/>
            <w:vAlign w:val="center"/>
          </w:tcPr>
          <w:p w14:paraId="6FE07D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399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通用理疗2.0mm及2.5mm插口</w:t>
            </w:r>
            <w:r>
              <w:rPr>
                <w:rFonts w:hint="eastAsia" w:ascii="宋体" w:hAnsi="宋体" w:cs="宋体"/>
                <w:i w:val="0"/>
                <w:iCs w:val="0"/>
                <w:color w:val="auto"/>
                <w:kern w:val="0"/>
                <w:sz w:val="20"/>
                <w:szCs w:val="20"/>
                <w:u w:val="none"/>
                <w:lang w:val="en-US" w:eastAsia="zh-CN" w:bidi="ar"/>
              </w:rPr>
              <w:t xml:space="preserve"> </w:t>
            </w:r>
          </w:p>
        </w:tc>
      </w:tr>
      <w:tr w14:paraId="0109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731E">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34</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EC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口腔器械盒</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74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内容包含但不限于口镜、牙探针、牙用镊、脱脂棉球、检查垫、检查碗、乳胶手套、清洁用纸等</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8A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AB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87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7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3EC">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E33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按需提供相应比例漱口杯，要求有二类器械注册证</w:t>
            </w: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rPr>
        <w:t>二、其他要求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.其他未尽事宜由绍兴大学附属医院（绍兴文理学院附属医院）负责解释。</w:t>
      </w:r>
      <w:bookmarkStart w:id="15" w:name="_Toc104885747"/>
    </w:p>
    <w:p w14:paraId="340042AF">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1.3合同暂定二年，签约地点：绍兴大学附属医院（绍兴文理学院附属医院）。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2245BD67">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绍兴文理学院附属医院血糖试纸等采购项目（三次）</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861EE3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674408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35515B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560E5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E6D795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B944B5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53A9D6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AB8C09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绍兴文理学院附属医院血糖试纸等采购项目（三次）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r>
        <w:rPr>
          <w:rFonts w:hint="eastAsia" w:ascii="仿宋" w:hAnsi="仿宋" w:eastAsia="仿宋" w:cs="仿宋"/>
          <w:b/>
          <w:color w:val="auto"/>
          <w:sz w:val="24"/>
        </w:rPr>
        <w:t>甲  方：绍兴大学附属医院（绍兴文理学院附属医院）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rPr>
      </w:pPr>
      <w:r>
        <w:rPr>
          <w:rFonts w:hint="eastAsia" w:ascii="仿宋" w:hAnsi="仿宋" w:eastAsia="仿宋" w:cs="仿宋"/>
          <w:color w:val="auto"/>
          <w:sz w:val="24"/>
        </w:rPr>
        <w:t>甲方：绍兴大学附属医院（绍兴文理学院附属医院）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采购周期：本协议原则上生效之日起二年，采购周期结束前一个月甲方有权决定采购周期是否延长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绍兴大学附属医院（绍兴文理学院附属医院）</w:t>
      </w:r>
      <w:r>
        <w:rPr>
          <w:rFonts w:hint="eastAsia" w:ascii="仿宋" w:hAnsi="仿宋" w:eastAsia="仿宋" w:cs="仿宋"/>
          <w:b/>
          <w:color w:val="auto"/>
          <w:sz w:val="24"/>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7D9DBC40">
      <w:pPr>
        <w:kinsoku/>
        <w:overflowPunct/>
        <w:topLinePunct w:val="0"/>
        <w:bidi w:val="0"/>
        <w:spacing w:line="288" w:lineRule="auto"/>
        <w:jc w:val="center"/>
        <w:rPr>
          <w:rFonts w:hint="eastAsia" w:ascii="仿宋" w:hAnsi="仿宋" w:eastAsia="仿宋" w:cs="仿宋"/>
          <w:b/>
          <w:bCs/>
          <w:color w:val="auto"/>
          <w:sz w:val="44"/>
          <w:szCs w:val="40"/>
        </w:rPr>
      </w:pPr>
    </w:p>
    <w:p w14:paraId="61CC7F22">
      <w:pPr>
        <w:kinsoku/>
        <w:overflowPunct/>
        <w:topLinePunct w:val="0"/>
        <w:bidi w:val="0"/>
        <w:spacing w:line="288" w:lineRule="auto"/>
        <w:jc w:val="center"/>
        <w:rPr>
          <w:rFonts w:hint="eastAsia" w:ascii="仿宋" w:hAnsi="仿宋" w:eastAsia="仿宋" w:cs="仿宋"/>
          <w:b/>
          <w:bCs/>
          <w:color w:val="auto"/>
          <w:sz w:val="44"/>
          <w:szCs w:val="40"/>
        </w:rPr>
      </w:pPr>
    </w:p>
    <w:p w14:paraId="6B5D8CC7">
      <w:pPr>
        <w:kinsoku/>
        <w:overflowPunct/>
        <w:topLinePunct w:val="0"/>
        <w:bidi w:val="0"/>
        <w:spacing w:line="288" w:lineRule="auto"/>
        <w:jc w:val="center"/>
        <w:rPr>
          <w:rFonts w:hint="eastAsia" w:ascii="仿宋" w:hAnsi="仿宋" w:eastAsia="仿宋" w:cs="仿宋"/>
          <w:b/>
          <w:bCs/>
          <w:color w:val="auto"/>
          <w:sz w:val="44"/>
          <w:szCs w:val="40"/>
        </w:rPr>
      </w:pPr>
    </w:p>
    <w:p w14:paraId="1A2F02B2">
      <w:pPr>
        <w:kinsoku/>
        <w:overflowPunct/>
        <w:topLinePunct w:val="0"/>
        <w:bidi w:val="0"/>
        <w:spacing w:line="288" w:lineRule="auto"/>
        <w:jc w:val="center"/>
        <w:rPr>
          <w:rFonts w:hint="eastAsia" w:ascii="仿宋" w:hAnsi="仿宋" w:eastAsia="仿宋" w:cs="仿宋"/>
          <w:b/>
          <w:bCs/>
          <w:color w:val="auto"/>
          <w:sz w:val="44"/>
          <w:szCs w:val="40"/>
        </w:rPr>
      </w:pPr>
    </w:p>
    <w:p w14:paraId="0A462B6D">
      <w:pPr>
        <w:kinsoku/>
        <w:overflowPunct/>
        <w:topLinePunct w:val="0"/>
        <w:bidi w:val="0"/>
        <w:spacing w:line="288" w:lineRule="auto"/>
        <w:jc w:val="both"/>
        <w:rPr>
          <w:rFonts w:hint="eastAsia" w:ascii="仿宋" w:hAnsi="仿宋" w:eastAsia="仿宋" w:cs="仿宋"/>
          <w:b/>
          <w:bCs/>
          <w:color w:val="auto"/>
          <w:sz w:val="44"/>
          <w:szCs w:val="40"/>
        </w:rPr>
      </w:pPr>
    </w:p>
    <w:p w14:paraId="645C5AA7">
      <w:pPr>
        <w:kinsoku/>
        <w:overflowPunct/>
        <w:topLinePunct w:val="0"/>
        <w:bidi w:val="0"/>
        <w:spacing w:line="288" w:lineRule="auto"/>
        <w:jc w:val="center"/>
        <w:rPr>
          <w:rFonts w:hint="eastAsia" w:ascii="仿宋" w:hAnsi="仿宋" w:eastAsia="仿宋" w:cs="仿宋"/>
          <w:b/>
          <w:bCs/>
          <w:color w:val="auto"/>
          <w:sz w:val="44"/>
          <w:szCs w:val="40"/>
        </w:rPr>
      </w:pPr>
    </w:p>
    <w:p w14:paraId="0CDC4B8A">
      <w:pPr>
        <w:kinsoku/>
        <w:overflowPunct/>
        <w:topLinePunct w:val="0"/>
        <w:bidi w:val="0"/>
        <w:spacing w:line="288" w:lineRule="auto"/>
        <w:jc w:val="center"/>
        <w:rPr>
          <w:rFonts w:hint="eastAsia" w:ascii="仿宋" w:hAnsi="仿宋" w:eastAsia="仿宋" w:cs="仿宋"/>
          <w:b/>
          <w:bCs/>
          <w:color w:val="auto"/>
          <w:sz w:val="44"/>
          <w:szCs w:val="40"/>
        </w:rPr>
      </w:pPr>
    </w:p>
    <w:p w14:paraId="3CC7E1A1">
      <w:pPr>
        <w:kinsoku/>
        <w:overflowPunct/>
        <w:topLinePunct w:val="0"/>
        <w:bidi w:val="0"/>
        <w:spacing w:line="288" w:lineRule="auto"/>
        <w:jc w:val="center"/>
        <w:rPr>
          <w:rFonts w:hint="eastAsia" w:ascii="仿宋" w:hAnsi="仿宋" w:eastAsia="仿宋" w:cs="仿宋"/>
          <w:b/>
          <w:bCs/>
          <w:color w:val="auto"/>
          <w:sz w:val="44"/>
          <w:szCs w:val="40"/>
        </w:rPr>
      </w:pPr>
    </w:p>
    <w:p w14:paraId="556FFF69">
      <w:pPr>
        <w:kinsoku/>
        <w:overflowPunct/>
        <w:topLinePunct w:val="0"/>
        <w:bidi w:val="0"/>
        <w:spacing w:line="288" w:lineRule="auto"/>
        <w:jc w:val="center"/>
        <w:rPr>
          <w:rFonts w:hint="eastAsia" w:ascii="仿宋" w:hAnsi="仿宋" w:eastAsia="仿宋" w:cs="仿宋"/>
          <w:b/>
          <w:bCs/>
          <w:color w:val="auto"/>
          <w:sz w:val="44"/>
          <w:szCs w:val="40"/>
        </w:rPr>
      </w:pPr>
    </w:p>
    <w:p w14:paraId="484E7A3C">
      <w:pPr>
        <w:kinsoku/>
        <w:overflowPunct/>
        <w:topLinePunct w:val="0"/>
        <w:bidi w:val="0"/>
        <w:spacing w:line="288" w:lineRule="auto"/>
        <w:jc w:val="center"/>
        <w:rPr>
          <w:rFonts w:hint="eastAsia" w:ascii="仿宋" w:hAnsi="仿宋" w:eastAsia="仿宋" w:cs="仿宋"/>
          <w:b/>
          <w:bCs/>
          <w:color w:val="auto"/>
          <w:sz w:val="44"/>
          <w:szCs w:val="40"/>
        </w:rPr>
      </w:pPr>
    </w:p>
    <w:p w14:paraId="72A45466">
      <w:pPr>
        <w:kinsoku/>
        <w:overflowPunct/>
        <w:topLinePunct w:val="0"/>
        <w:bidi w:val="0"/>
        <w:spacing w:line="288" w:lineRule="auto"/>
        <w:jc w:val="center"/>
        <w:rPr>
          <w:rFonts w:hint="eastAsia" w:ascii="仿宋" w:hAnsi="仿宋" w:eastAsia="仿宋" w:cs="仿宋"/>
          <w:b/>
          <w:bCs/>
          <w:color w:val="auto"/>
          <w:sz w:val="44"/>
          <w:szCs w:val="40"/>
        </w:rPr>
      </w:pPr>
    </w:p>
    <w:p w14:paraId="38253C59">
      <w:pPr>
        <w:kinsoku/>
        <w:overflowPunct/>
        <w:topLinePunct w:val="0"/>
        <w:bidi w:val="0"/>
        <w:spacing w:line="288" w:lineRule="auto"/>
        <w:jc w:val="center"/>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bookmarkStart w:id="31" w:name="_GoBack"/>
      <w:bookmarkEnd w:id="31"/>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共100分，其中技术分60分，商务分40分。评分依下述所列为评标打分依据，分值如下（计算分值时，按其算术平均值保留小数2位）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2022年1月1日以来医疗机构使用证明材料（发票及供货合同书，目录内半数产品覆盖为准），每提供1家医疗机构得1分，最高分值为4分；未提交材料或提交材料不符合要求的，不得分。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r>
              <w:rPr>
                <w:rFonts w:hint="eastAsia" w:ascii="仿宋" w:hAnsi="仿宋" w:eastAsia="仿宋" w:cs="仿宋"/>
                <w:color w:val="auto"/>
                <w:sz w:val="22"/>
                <w:szCs w:val="18"/>
              </w:rPr>
              <w:t>对所投产品的用户认可度、在不同类型医院（包括但不限于三甲医院）的使用情况等方面进行评价打分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lang w:val="en-US" w:eastAsia="zh-CN"/>
              </w:rPr>
              <w:t>根据用户满意度评价</w:t>
            </w:r>
            <w:r>
              <w:rPr>
                <w:rFonts w:hint="eastAsia" w:ascii="仿宋" w:hAnsi="仿宋" w:eastAsia="仿宋" w:cs="仿宋"/>
                <w:color w:val="auto"/>
                <w:sz w:val="22"/>
                <w:szCs w:val="18"/>
              </w:rPr>
              <w:t>、</w:t>
            </w:r>
            <w:r>
              <w:rPr>
                <w:rFonts w:hint="eastAsia" w:ascii="仿宋" w:hAnsi="仿宋" w:eastAsia="仿宋" w:cs="仿宋"/>
                <w:color w:val="auto"/>
                <w:sz w:val="22"/>
                <w:szCs w:val="18"/>
                <w:lang w:val="en-US" w:eastAsia="zh-CN"/>
              </w:rPr>
              <w:t>医院使用证明材料等相关材料</w:t>
            </w:r>
            <w:r>
              <w:rPr>
                <w:rFonts w:hint="eastAsia" w:ascii="仿宋" w:hAnsi="仿宋" w:eastAsia="仿宋" w:cs="仿宋"/>
                <w:color w:val="auto"/>
                <w:sz w:val="22"/>
                <w:szCs w:val="18"/>
              </w:rPr>
              <w:t>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color w:val="auto"/>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绍兴文理学院附属医院血糖试纸等采购项目（三次）</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绍兴大学附属医院（绍兴文理学院附属医院）</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绍兴文理学院附属医院血糖试纸等采购项目（三次）</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绍兴文理学院附属医院血糖试纸等采购项目（三次）</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1312"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1312;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2336"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2336;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2</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88"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5"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5"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5"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5"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（如有）项目配套服务中涉及提供的设备，供应商须承诺根据临床要求，接入医院LIS/HIS系统，相应费用包含在投标报价中，不单独报价。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5"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各标段（有约定的）需包含所有相关配套设备、耗材、质控品、校准品、定标液、样品杯等配套耗材及实际质控校准所消耗试剂，以保证临床使用，均包含在投标报价中，不单独报价。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5"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耗材类配送需要通过绍兴大学附属医院（绍兴文理学院附属医院）SPD物资管理系统进行配送结算，产生费用由供应商与SPD管理公司自行协商。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5"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0F5157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D7A5A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5AE0D8F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6CCCA07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55AAE1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2C634FD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6101EC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2DA99F4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695FC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0F26053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0B5A1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6F07DD9C">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0C18FED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06FC441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10A5E1E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35CF41F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06653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4B91FEB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358042F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71CE6ED">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04D2FFB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.其他未尽事宜由绍兴大学附属医院（绍兴文理学院附属医院）负责解释。</w:t>
      </w:r>
    </w:p>
    <w:p w14:paraId="6F975CAD">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color w:val="auto"/>
          <w:sz w:val="24"/>
          <w:szCs w:val="24"/>
        </w:rPr>
      </w:pPr>
    </w:p>
    <w:p w14:paraId="6C0490D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4B902B24">
      <w:pPr>
        <w:kinsoku/>
        <w:overflowPunct/>
        <w:topLinePunct w:val="0"/>
        <w:bidi w:val="0"/>
        <w:snapToGrid w:val="0"/>
        <w:spacing w:before="50" w:after="50" w:line="288" w:lineRule="auto"/>
        <w:ind w:firstLine="560"/>
        <w:rPr>
          <w:rFonts w:ascii="仿宋" w:hAnsi="仿宋" w:eastAsia="仿宋" w:cs="仿宋"/>
          <w:color w:val="auto"/>
          <w:spacing w:val="20"/>
          <w:sz w:val="24"/>
          <w:szCs w:val="24"/>
        </w:rPr>
      </w:pPr>
    </w:p>
    <w:p w14:paraId="4B4FDD84">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bookmarkStart w:id="18" w:name="_Toc64369812"/>
      <w:bookmarkEnd w:id="18"/>
      <w:bookmarkStart w:id="19" w:name="_Toc64369808"/>
      <w:bookmarkEnd w:id="19"/>
      <w:bookmarkStart w:id="20" w:name="_Toc64369809"/>
      <w:bookmarkEnd w:id="20"/>
      <w:bookmarkStart w:id="21" w:name="_Toc64369807"/>
      <w:bookmarkEnd w:id="21"/>
      <w:bookmarkStart w:id="22" w:name="_Toc64369804"/>
      <w:bookmarkEnd w:id="22"/>
      <w:bookmarkStart w:id="23" w:name="_Toc64369810"/>
      <w:bookmarkEnd w:id="23"/>
      <w:bookmarkStart w:id="24" w:name="_Toc64369813"/>
      <w:bookmarkEnd w:id="24"/>
      <w:bookmarkStart w:id="25" w:name="_Toc64369811"/>
      <w:bookmarkEnd w:id="25"/>
      <w:bookmarkStart w:id="26" w:name="_Toc64369805"/>
      <w:bookmarkEnd w:id="26"/>
      <w:bookmarkStart w:id="27" w:name="_Toc64369814"/>
      <w:bookmarkEnd w:id="27"/>
      <w:bookmarkStart w:id="28" w:name="_Toc64369806"/>
      <w:bookmarkEnd w:id="28"/>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3360"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3360;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4384"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4384;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10A9E0C">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5036BF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087F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BF6B5B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7E597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B060B8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A77CBC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3B5F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D37EE9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39D17A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4C75F9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CF9C2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D31FC5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DEEC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FC3D3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753F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86CE2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90AD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36D2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91E17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E18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F03487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552AE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940E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795F7A91">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16AAC383">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01B367B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195B3ED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CB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C864A1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0B48BB4F">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7B714C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957BC5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814593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6359EFA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F55B2D8">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7AE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D57BE6E">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4F74A00A">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95CBDD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7D6328F">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CBB34E2">
            <w:pPr>
              <w:kinsoku/>
              <w:overflowPunct/>
              <w:topLinePunct w:val="0"/>
              <w:bidi w:val="0"/>
              <w:spacing w:line="288" w:lineRule="auto"/>
              <w:rPr>
                <w:rFonts w:ascii="仿宋" w:hAnsi="仿宋" w:eastAsia="仿宋" w:cs="仿宋"/>
                <w:color w:val="auto"/>
                <w:sz w:val="24"/>
                <w:szCs w:val="24"/>
              </w:rPr>
            </w:pPr>
          </w:p>
        </w:tc>
      </w:tr>
      <w:tr w14:paraId="31D4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895AA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804A422">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7D5183A">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007957A">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54A18D3">
            <w:pPr>
              <w:kinsoku/>
              <w:overflowPunct/>
              <w:topLinePunct w:val="0"/>
              <w:bidi w:val="0"/>
              <w:spacing w:line="288" w:lineRule="auto"/>
              <w:rPr>
                <w:rFonts w:ascii="仿宋" w:hAnsi="仿宋" w:eastAsia="仿宋" w:cs="仿宋"/>
                <w:color w:val="auto"/>
                <w:sz w:val="24"/>
                <w:szCs w:val="24"/>
              </w:rPr>
            </w:pPr>
          </w:p>
        </w:tc>
      </w:tr>
      <w:tr w14:paraId="0C5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05BED3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1EA4491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A901A3E">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7BDB62C">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C9C903A">
            <w:pPr>
              <w:kinsoku/>
              <w:overflowPunct/>
              <w:topLinePunct w:val="0"/>
              <w:bidi w:val="0"/>
              <w:spacing w:line="288" w:lineRule="auto"/>
              <w:rPr>
                <w:rFonts w:ascii="仿宋" w:hAnsi="仿宋" w:eastAsia="仿宋" w:cs="仿宋"/>
                <w:color w:val="auto"/>
                <w:sz w:val="24"/>
                <w:szCs w:val="24"/>
              </w:rPr>
            </w:pPr>
          </w:p>
        </w:tc>
      </w:tr>
    </w:tbl>
    <w:p w14:paraId="735F848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722CFE99">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095689A6">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2B22AC75">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7C1D8BD">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3BE894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EA74C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FCD9B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97D2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8A63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34E4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12</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绍兴文理学院附属医院血糖试纸等采购项目（三次）</w:t>
    </w:r>
    <w:r>
      <w:rPr>
        <w:rFonts w:hint="eastAsia"/>
      </w:rPr>
      <w:t>（</w:t>
    </w:r>
    <w:r>
      <w:rPr>
        <w:rFonts w:hint="eastAsia"/>
        <w:lang w:eastAsia="zh-CN"/>
      </w:rPr>
      <w:t>YH202</w:t>
    </w:r>
    <w:r>
      <w:rPr>
        <w:rFonts w:hint="eastAsia"/>
        <w:lang w:val="en-US" w:eastAsia="zh-CN"/>
      </w:rPr>
      <w:t>5</w:t>
    </w:r>
    <w:r>
      <w:rPr>
        <w:rFonts w:hint="eastAsia"/>
        <w:lang w:eastAsia="zh-CN"/>
      </w:rPr>
      <w:t>-</w:t>
    </w:r>
    <w:r>
      <w:rPr>
        <w:rFonts w:hint="eastAsia"/>
        <w:lang w:val="en-US" w:eastAsia="zh-CN"/>
      </w:rPr>
      <w:t>11027-2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rPr>
        <w:rFonts w:hint="eastAsia"/>
        <w:lang w:eastAsia="zh-CN"/>
      </w:rPr>
    </w:pPr>
    <w:r>
      <w:rPr>
        <w:rFonts w:hint="eastAsia"/>
        <w:lang w:eastAsia="zh-CN"/>
      </w:rPr>
      <w:t>绍兴文理学院附属医院血糖试纸等采购项目（三次）（YH2025-11027-2）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绍兴文理学院附属医院血糖试纸等采购项目（三次）（YH2025-11027-2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C3055D"/>
    <w:rsid w:val="63E322D9"/>
    <w:rsid w:val="63FB4E0D"/>
    <w:rsid w:val="64665646"/>
    <w:rsid w:val="65C60088"/>
    <w:rsid w:val="66B111C2"/>
    <w:rsid w:val="67845082"/>
    <w:rsid w:val="68A3173F"/>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62</Pages>
  <Words>18596</Words>
  <Characters>20011</Characters>
  <Lines>392</Lines>
  <Paragraphs>110</Paragraphs>
  <TotalTime>47</TotalTime>
  <ScaleCrop>false</ScaleCrop>
  <LinksUpToDate>false</LinksUpToDate>
  <CharactersWithSpaces>20323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2026-04-09T08:11:00Z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