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64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594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00" w:type="dxa"/>
            <w:textDirection w:val="lrTb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评分内容</w:t>
            </w:r>
          </w:p>
        </w:tc>
        <w:tc>
          <w:tcPr>
            <w:tcW w:w="5940" w:type="dxa"/>
            <w:textDirection w:val="lrTb"/>
            <w:vAlign w:val="top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评 分 说 明</w:t>
            </w:r>
          </w:p>
        </w:tc>
        <w:tc>
          <w:tcPr>
            <w:tcW w:w="900" w:type="dxa"/>
            <w:textDirection w:val="lrTb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供应商资质</w:t>
            </w:r>
          </w:p>
        </w:tc>
        <w:tc>
          <w:tcPr>
            <w:tcW w:w="5940" w:type="dxa"/>
            <w:vAlign w:val="center"/>
          </w:tcPr>
          <w:p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>供应商具有</w:t>
            </w:r>
            <w:bookmarkStart w:id="0" w:name="_Ref30530"/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>电子智能化工程专业承包</w:t>
            </w:r>
            <w:bookmarkEnd w:id="0"/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>二级及以上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>的，得</w:t>
            </w: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>分，</w:t>
            </w:r>
            <w:bookmarkStart w:id="1" w:name="_Ref30683"/>
            <w:r>
              <w:rPr>
                <w:rFonts w:hint="eastAsia" w:ascii="宋体" w:hAnsi="宋体" w:cs="Times New Roman"/>
                <w:color w:val="000000"/>
                <w:sz w:val="24"/>
              </w:rPr>
              <w:t>具有</w:t>
            </w: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>浙江省安全技术防范资信等三级</w:t>
            </w:r>
            <w:bookmarkEnd w:id="1"/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>及以个上的，得2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>分。资质证书需提供复印件并加盖公章</w:t>
            </w:r>
            <w:r>
              <w:rPr>
                <w:rFonts w:hint="eastAsia" w:ascii="宋体" w:hAnsi="宋体" w:cs="Times New Roman"/>
                <w:color w:val="000000"/>
                <w:sz w:val="24"/>
                <w:lang w:eastAsia="zh-CN"/>
              </w:rPr>
              <w:t>。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供应商业绩</w:t>
            </w:r>
          </w:p>
        </w:tc>
        <w:tc>
          <w:tcPr>
            <w:tcW w:w="5940" w:type="dxa"/>
            <w:vAlign w:val="center"/>
          </w:tcPr>
          <w:p>
            <w:pPr>
              <w:spacing w:line="360" w:lineRule="auto"/>
              <w:ind w:right="71" w:rightChars="34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月1日至今同等规模以上监控、门禁相关案例合同，根据投标人所提供的合同，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一个得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1分，最高限3分</w:t>
            </w:r>
            <w:r>
              <w:rPr>
                <w:rFonts w:hint="eastAsia" w:ascii="宋体" w:hAnsi="宋体" w:cs="宋体"/>
                <w:sz w:val="24"/>
              </w:rPr>
              <w:t>。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合同</w:t>
            </w:r>
            <w:r>
              <w:rPr>
                <w:rFonts w:hint="eastAsia" w:ascii="宋体" w:hAnsi="宋体"/>
                <w:color w:val="000000"/>
                <w:sz w:val="24"/>
              </w:rPr>
              <w:t>提供复印件并加盖公章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。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团队人员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资质</w:t>
            </w:r>
          </w:p>
        </w:tc>
        <w:tc>
          <w:tcPr>
            <w:tcW w:w="5940" w:type="dxa"/>
            <w:vAlign w:val="center"/>
          </w:tcPr>
          <w:p>
            <w:pPr>
              <w:spacing w:line="360" w:lineRule="auto"/>
              <w:ind w:right="71" w:rightChars="34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、供应商拟派项目技术负责人具有二级建造师（机电专业，住房与城乡建设厅颁发）、信息系统项目管理师（高级）（中华人民共和国人力资源和社会保障部颁发）、系统集成项目管理工程师（中华人民共和国人力资源和社会保障部颁发）的每个得2分，最高得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</w:rPr>
              <w:t>分。2、供应商团队实施人员具有</w:t>
            </w:r>
            <w:r>
              <w:rPr>
                <w:rFonts w:ascii="宋体" w:hAnsi="宋体"/>
                <w:color w:val="000000"/>
                <w:sz w:val="24"/>
              </w:rPr>
              <w:t>信息系统管理工程师（中级）</w:t>
            </w:r>
            <w:r>
              <w:rPr>
                <w:rFonts w:hint="eastAsia" w:ascii="宋体" w:hAnsi="宋体"/>
                <w:color w:val="000000"/>
                <w:sz w:val="24"/>
              </w:rPr>
              <w:t>（中华人民共和国人力资源和社会保障部颁发）、网络工程师（中华人民共和国人力资源和社会保障部颁发）、焊接与热切割作业证书（应急管理厅颁发）、安防工程企业高级管理人员证书（安全技术防范行业协会颁发）的每提供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一</w:t>
            </w:r>
            <w:r>
              <w:rPr>
                <w:rFonts w:hint="eastAsia" w:ascii="宋体" w:hAnsi="宋体"/>
                <w:color w:val="000000"/>
                <w:sz w:val="24"/>
              </w:rPr>
              <w:t>个得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 w:val="24"/>
              </w:rPr>
              <w:t>分。本项最高得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</w:rPr>
              <w:t>分，一人多证不重复计取。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提供相关证书复印件并加盖公章。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00" w:type="dxa"/>
            <w:shd w:val="clear" w:color="auto" w:fill="auto"/>
            <w:textDirection w:val="lrTb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项目实施方案</w:t>
            </w:r>
          </w:p>
        </w:tc>
        <w:tc>
          <w:tcPr>
            <w:tcW w:w="5940" w:type="dxa"/>
            <w:shd w:val="clear" w:color="auto" w:fill="FFFFFF"/>
            <w:textDirection w:val="lrTb"/>
            <w:vAlign w:val="center"/>
          </w:tcPr>
          <w:p>
            <w:pPr>
              <w:tabs>
                <w:tab w:val="left" w:pos="720"/>
              </w:tabs>
              <w:spacing w:line="360" w:lineRule="exact"/>
              <w:jc w:val="left"/>
              <w:rPr>
                <w:szCs w:val="24"/>
                <w:lang w:val="en-US"/>
              </w:rPr>
            </w:pPr>
            <w:r>
              <w:rPr>
                <w:rFonts w:hint="eastAsia" w:ascii="宋体" w:hAnsi="宋体" w:cs="宋体"/>
                <w:sz w:val="24"/>
              </w:rPr>
              <w:t>投标人针对本项目维保服务的具体实施方案，由评审专家根据方案完整性、计划性和所提供的维护保养设备、工具等内容打分</w:t>
            </w:r>
            <w:r>
              <w:rPr>
                <w:rFonts w:hint="eastAsia"/>
                <w:sz w:val="24"/>
              </w:rPr>
              <w:t>（本项分值设置为</w:t>
            </w:r>
            <w:r>
              <w:rPr>
                <w:rFonts w:hint="eastAsia"/>
                <w:sz w:val="24"/>
                <w:lang w:val="en-US" w:eastAsia="zh-CN"/>
              </w:rPr>
              <w:t>8, 7，6，5，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0分）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00" w:type="dxa"/>
            <w:shd w:val="clear" w:color="auto" w:fill="auto"/>
            <w:textDirection w:val="lrTb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应急预案</w:t>
            </w:r>
          </w:p>
        </w:tc>
        <w:tc>
          <w:tcPr>
            <w:tcW w:w="5940" w:type="dxa"/>
            <w:shd w:val="clear" w:color="auto" w:fill="FFFFFF"/>
            <w:textDirection w:val="lrTb"/>
            <w:vAlign w:val="center"/>
          </w:tcPr>
          <w:p>
            <w:pPr>
              <w:spacing w:line="380" w:lineRule="exact"/>
              <w:jc w:val="left"/>
              <w:rPr>
                <w:rFonts w:hint="eastAsia"/>
                <w:color w:val="000000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具有完善的应急预案，对本项目的综合分析、对项目的重点、难点和疑点问题把握、关键点诊断，根据投标人对项目推进过程中可能出现的问题有完整的、可行的应对方案进行综合评分。</w:t>
            </w:r>
            <w:r>
              <w:rPr>
                <w:rFonts w:hint="eastAsia"/>
                <w:sz w:val="24"/>
              </w:rPr>
              <w:t>（本项分值设置为</w:t>
            </w:r>
            <w:r>
              <w:rPr>
                <w:rFonts w:hint="eastAsia"/>
                <w:sz w:val="24"/>
                <w:lang w:val="en-US" w:eastAsia="zh-CN"/>
              </w:rPr>
              <w:t>8, 7，6，5，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0分）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800" w:type="dxa"/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售后服务承诺</w:t>
            </w:r>
          </w:p>
        </w:tc>
        <w:tc>
          <w:tcPr>
            <w:tcW w:w="5940" w:type="dxa"/>
            <w:shd w:val="clear" w:color="auto" w:fill="FFFFFF"/>
            <w:textDirection w:val="lrTb"/>
            <w:vAlign w:val="center"/>
          </w:tcPr>
          <w:p>
            <w:pPr>
              <w:widowControl/>
              <w:spacing w:line="400" w:lineRule="exact"/>
              <w:jc w:val="left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根据本项目所提供的本地化服务，结合投标人相应的服务能力、售后服务响应时间、承诺修复时间、特色和创新服务等情况横向对比，综合评分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  <w:r>
              <w:rPr>
                <w:rFonts w:hint="eastAsia"/>
                <w:sz w:val="24"/>
              </w:rPr>
              <w:t>（本项分值设置为</w:t>
            </w:r>
            <w:r>
              <w:rPr>
                <w:rFonts w:hint="eastAsia"/>
                <w:sz w:val="24"/>
                <w:lang w:val="en-US" w:eastAsia="zh-CN"/>
              </w:rPr>
              <w:t>9，8, 7，6，5，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0分）</w:t>
            </w:r>
            <w:r>
              <w:rPr>
                <w:rFonts w:hint="eastAsia" w:ascii="宋体" w:hAnsi="宋体"/>
                <w:sz w:val="24"/>
              </w:rPr>
              <w:t xml:space="preserve">                 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800" w:type="dxa"/>
            <w:textDirection w:val="lrTb"/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售后服务</w:t>
            </w:r>
            <w:r>
              <w:rPr>
                <w:rFonts w:hint="eastAsia"/>
                <w:color w:val="000000"/>
                <w:sz w:val="24"/>
                <w:lang w:eastAsia="zh-CN"/>
              </w:rPr>
              <w:t>期限</w:t>
            </w:r>
          </w:p>
        </w:tc>
        <w:tc>
          <w:tcPr>
            <w:tcW w:w="5940" w:type="dxa"/>
            <w:textDirection w:val="lrTb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售后服务期限原则为1年，延长1个月得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/>
                <w:color w:val="000000"/>
                <w:sz w:val="24"/>
              </w:rPr>
              <w:t>分，延长2个月得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/>
                <w:color w:val="000000"/>
                <w:sz w:val="24"/>
              </w:rPr>
              <w:t>分，延长3个月得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/>
                <w:color w:val="000000"/>
                <w:sz w:val="24"/>
              </w:rPr>
              <w:t>分。</w:t>
            </w:r>
          </w:p>
        </w:tc>
        <w:tc>
          <w:tcPr>
            <w:tcW w:w="900" w:type="dxa"/>
            <w:textDirection w:val="lrTb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相应零配件更换及维修价的下浮率</w:t>
            </w:r>
          </w:p>
        </w:tc>
        <w:tc>
          <w:tcPr>
            <w:tcW w:w="5940" w:type="dxa"/>
            <w:vAlign w:val="center"/>
          </w:tcPr>
          <w:p>
            <w:pPr>
              <w:spacing w:line="360" w:lineRule="auto"/>
              <w:ind w:left="71" w:leftChars="34" w:right="71" w:rightChars="34" w:firstLine="1"/>
              <w:rPr>
                <w:rFonts w:hint="eastAsia" w:ascii="宋体" w:hAnsi="宋体" w:cs="宋体"/>
                <w:sz w:val="24"/>
              </w:rPr>
            </w:pPr>
            <w:r>
              <w:rPr>
                <w:sz w:val="24"/>
              </w:rPr>
              <w:t>在满足</w:t>
            </w:r>
            <w:r>
              <w:rPr>
                <w:rFonts w:hint="eastAsia"/>
                <w:sz w:val="24"/>
              </w:rPr>
              <w:t>医院</w:t>
            </w:r>
            <w:r>
              <w:rPr>
                <w:sz w:val="24"/>
              </w:rPr>
              <w:t>要求的基础上，各供应商所供配件在最高限价基础上的统一下浮率，下浮率最高得</w:t>
            </w:r>
            <w:r>
              <w:rPr>
                <w:rFonts w:hint="eastAsia"/>
                <w:sz w:val="24"/>
                <w:lang w:val="en-US" w:eastAsia="zh-CN"/>
              </w:rPr>
              <w:t>16</w:t>
            </w:r>
            <w:r>
              <w:rPr>
                <w:sz w:val="24"/>
              </w:rPr>
              <w:t>分，</w:t>
            </w:r>
            <w:r>
              <w:rPr>
                <w:rFonts w:hint="eastAsia"/>
                <w:sz w:val="24"/>
                <w:lang w:eastAsia="zh-CN"/>
              </w:rPr>
              <w:t>其余得分</w:t>
            </w:r>
            <w:r>
              <w:rPr>
                <w:rFonts w:hint="eastAsia"/>
                <w:sz w:val="24"/>
                <w:lang w:val="en-US" w:eastAsia="zh-CN"/>
              </w:rPr>
              <w:t>=（</w:t>
            </w:r>
            <w:r>
              <w:rPr>
                <w:sz w:val="24"/>
              </w:rPr>
              <w:t>下浮率</w:t>
            </w:r>
            <w:r>
              <w:rPr>
                <w:rFonts w:hint="eastAsia"/>
                <w:sz w:val="24"/>
                <w:lang w:val="en-US" w:eastAsia="zh-CN"/>
              </w:rPr>
              <w:t>/最高下浮率）</w:t>
            </w:r>
            <w:r>
              <w:rPr>
                <w:rFonts w:hint="eastAsia" w:ascii="宋体" w:hAnsi="宋体" w:cs="宋体"/>
                <w:bCs/>
                <w:iCs/>
                <w:sz w:val="24"/>
              </w:rPr>
              <w:t>×</w:t>
            </w:r>
            <w:r>
              <w:rPr>
                <w:rFonts w:hint="eastAsia" w:ascii="宋体" w:hAnsi="宋体" w:cs="宋体"/>
                <w:bCs/>
                <w:iCs/>
                <w:sz w:val="24"/>
                <w:lang w:val="en-US" w:eastAsia="zh-CN"/>
              </w:rPr>
              <w:t>16</w:t>
            </w:r>
            <w:r>
              <w:rPr>
                <w:sz w:val="24"/>
              </w:rPr>
              <w:t>。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最终报价</w:t>
            </w:r>
          </w:p>
        </w:tc>
        <w:tc>
          <w:tcPr>
            <w:tcW w:w="5940" w:type="dxa"/>
            <w:vAlign w:val="center"/>
          </w:tcPr>
          <w:p>
            <w:pPr>
              <w:spacing w:line="400" w:lineRule="exact"/>
              <w:rPr>
                <w:rFonts w:hint="eastAsia" w:ascii="宋体" w:hAnsi="宋体" w:cs="宋体"/>
                <w:bCs/>
                <w:iCs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Cs/>
                <w:iCs/>
                <w:sz w:val="24"/>
              </w:rPr>
              <w:t>评标基准价：即满足采购文件要求且投标报价最低的投标报价为评标基准价，其价格分为满分。</w:t>
            </w:r>
          </w:p>
          <w:p>
            <w:pPr>
              <w:spacing w:line="400" w:lineRule="exact"/>
              <w:rPr>
                <w:rFonts w:hint="eastAsia" w:ascii="宋体" w:hAnsi="宋体" w:cs="宋体"/>
                <w:bCs/>
                <w:iCs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bCs/>
                <w:iCs/>
                <w:sz w:val="24"/>
              </w:rPr>
              <w:t>其他投标人的价格分统一按照下列公式计算：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sz w:val="24"/>
              </w:rPr>
              <w:t>投标报价得分=(评标基准价／投标报价)×价格权值×100</w:t>
            </w:r>
            <w:r>
              <w:rPr>
                <w:rFonts w:hint="eastAsia" w:ascii="宋体" w:hAnsi="宋体" w:cs="宋体"/>
                <w:bCs/>
                <w:i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iCs/>
                <w:sz w:val="24"/>
              </w:rPr>
              <w:t>即：投标报价得分=(评标基准价／投标报价)×</w:t>
            </w:r>
            <w:r>
              <w:rPr>
                <w:rFonts w:hint="eastAsia" w:ascii="宋体" w:hAnsi="宋体" w:cs="宋体"/>
                <w:bCs/>
                <w:i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iCs/>
                <w:sz w:val="24"/>
              </w:rPr>
              <w:t>0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-115" w:leftChars="-55" w:right="-115" w:rightChars="-55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30</w:t>
            </w:r>
          </w:p>
        </w:tc>
      </w:tr>
    </w:tbl>
    <w:p>
      <w:pPr>
        <w:spacing w:line="400" w:lineRule="exact"/>
        <w:rPr>
          <w:rFonts w:hint="eastAsia" w:ascii="宋体" w:hAnsi="宋体" w:cs="宋体"/>
          <w:b/>
          <w:bCs/>
          <w:iCs/>
          <w:sz w:val="24"/>
        </w:rPr>
      </w:pPr>
    </w:p>
    <w:p>
      <w:pPr>
        <w:pStyle w:val="3"/>
        <w:spacing w:line="800" w:lineRule="atLeast"/>
        <w:ind w:left="0" w:leftChars="0"/>
        <w:jc w:val="center"/>
        <w:rPr>
          <w:rFonts w:hint="eastAsia" w:ascii="宋体" w:hAnsi="宋体" w:cs="宋体"/>
          <w:b/>
          <w:bCs/>
        </w:rPr>
      </w:pPr>
    </w:p>
    <w:p>
      <w:pPr>
        <w:pStyle w:val="3"/>
        <w:spacing w:line="800" w:lineRule="atLeast"/>
        <w:ind w:left="0" w:leftChars="0"/>
        <w:jc w:val="center"/>
        <w:rPr>
          <w:rFonts w:hint="eastAsia" w:ascii="宋体" w:hAnsi="宋体"/>
          <w:b/>
          <w:sz w:val="36"/>
          <w:szCs w:val="36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0ZWI5ZmY0MjU3YWRiMmI2NWU4MGY2NWQ2MmQwNTEifQ=="/>
  </w:docVars>
  <w:rsids>
    <w:rsidRoot w:val="62E50FF6"/>
    <w:rsid w:val="003141B6"/>
    <w:rsid w:val="00565946"/>
    <w:rsid w:val="007A45D4"/>
    <w:rsid w:val="0526511B"/>
    <w:rsid w:val="0A042FAE"/>
    <w:rsid w:val="0BC162BC"/>
    <w:rsid w:val="0E6F05E6"/>
    <w:rsid w:val="0E7313C4"/>
    <w:rsid w:val="0F987405"/>
    <w:rsid w:val="12822DFC"/>
    <w:rsid w:val="14C8146E"/>
    <w:rsid w:val="160601E4"/>
    <w:rsid w:val="1BAF1D5E"/>
    <w:rsid w:val="1FAE6B6C"/>
    <w:rsid w:val="2346640A"/>
    <w:rsid w:val="23D03620"/>
    <w:rsid w:val="273E07A9"/>
    <w:rsid w:val="2AB92E84"/>
    <w:rsid w:val="2E227411"/>
    <w:rsid w:val="2F6754AA"/>
    <w:rsid w:val="31E959C4"/>
    <w:rsid w:val="335B1414"/>
    <w:rsid w:val="338A75B1"/>
    <w:rsid w:val="36FC6364"/>
    <w:rsid w:val="39A643F5"/>
    <w:rsid w:val="3A2C5DE3"/>
    <w:rsid w:val="3C682ABF"/>
    <w:rsid w:val="408017E7"/>
    <w:rsid w:val="42AF5729"/>
    <w:rsid w:val="42E83803"/>
    <w:rsid w:val="44D53725"/>
    <w:rsid w:val="470E0923"/>
    <w:rsid w:val="47AF5DF8"/>
    <w:rsid w:val="4862316F"/>
    <w:rsid w:val="49F807AD"/>
    <w:rsid w:val="4BBF0888"/>
    <w:rsid w:val="5350219B"/>
    <w:rsid w:val="5E2A5D89"/>
    <w:rsid w:val="62E50FF6"/>
    <w:rsid w:val="648C0B51"/>
    <w:rsid w:val="654D510A"/>
    <w:rsid w:val="660C2301"/>
    <w:rsid w:val="66E522A6"/>
    <w:rsid w:val="694B3A8D"/>
    <w:rsid w:val="6CC52614"/>
    <w:rsid w:val="767B3875"/>
    <w:rsid w:val="7B2113B4"/>
    <w:rsid w:val="7D535AF8"/>
    <w:rsid w:val="7DA7354A"/>
    <w:rsid w:val="7F540F5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ind w:left="425" w:hanging="425"/>
      <w:outlineLvl w:val="0"/>
    </w:pPr>
    <w:rPr>
      <w:rFonts w:eastAsia="仿宋_GB2312"/>
      <w:b/>
      <w:bCs/>
      <w:kern w:val="44"/>
      <w:sz w:val="44"/>
      <w:szCs w:val="44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pPr>
      <w:spacing w:after="156" w:afterLines="50"/>
    </w:pPr>
    <w:rPr>
      <w:rFonts w:ascii="宋体" w:hAnsi="Courier New"/>
      <w:sz w:val="24"/>
      <w:szCs w:val="20"/>
    </w:rPr>
  </w:style>
  <w:style w:type="paragraph" w:styleId="5">
    <w:name w:val="toc 1"/>
    <w:basedOn w:val="1"/>
    <w:next w:val="1"/>
    <w:qFormat/>
    <w:uiPriority w:val="0"/>
  </w:style>
  <w:style w:type="paragraph" w:customStyle="1" w:styleId="8">
    <w:name w:val="首行缩进"/>
    <w:basedOn w:val="1"/>
    <w:qFormat/>
    <w:uiPriority w:val="99"/>
    <w:pPr>
      <w:spacing w:line="360" w:lineRule="auto"/>
      <w:ind w:firstLine="480" w:firstLineChars="200"/>
    </w:pPr>
    <w:rPr>
      <w:sz w:val="24"/>
      <w:szCs w:val="2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117</Words>
  <Characters>673</Characters>
  <Lines>5</Lines>
  <Paragraphs>1</Paragraphs>
  <ScaleCrop>false</ScaleCrop>
  <LinksUpToDate>false</LinksUpToDate>
  <CharactersWithSpaces>789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2025-04-23T10:32:00Z</dcterms:created>
  <dc:creator>Administrator</dc:creator>
  <cp:lastModifiedBy>Administrator</cp:lastModifiedBy>
  <dcterms:modified xsi:type="dcterms:W3CDTF">2026-09-09T01:33:38Z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  <property fmtid="{D5CDD505-2E9C-101B-9397-08002B2CF9AE}" pid="3" name="ICV">
    <vt:lpwstr>906B1D83BA2C4F0390A440736FAEF624_13</vt:lpwstr>
  </property>
</Properties>
</file>